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9565B" w14:textId="77777777" w:rsidR="00861E31" w:rsidRPr="00861E31" w:rsidRDefault="00861E31" w:rsidP="00861E31">
      <w:pPr>
        <w:rPr>
          <w:rFonts w:ascii="Calibri" w:hAnsi="Calibri" w:cs="Calibri"/>
          <w:sz w:val="22"/>
          <w:szCs w:val="22"/>
        </w:rPr>
      </w:pPr>
      <w:proofErr w:type="spellStart"/>
      <w:r w:rsidRPr="00861E31">
        <w:rPr>
          <w:rFonts w:ascii="Calibri" w:hAnsi="Calibri" w:cs="Calibri"/>
          <w:sz w:val="22"/>
          <w:szCs w:val="22"/>
        </w:rPr>
        <w:t>Mar.8</w:t>
      </w:r>
      <w:proofErr w:type="spellEnd"/>
      <w:r w:rsidRPr="00861E31">
        <w:rPr>
          <w:rFonts w:ascii="Calibri" w:hAnsi="Calibri" w:cs="Calibri"/>
          <w:sz w:val="22"/>
          <w:szCs w:val="22"/>
        </w:rPr>
        <w:t>, 2026 Sunday</w:t>
      </w:r>
    </w:p>
    <w:p w14:paraId="70E2DA84" w14:textId="77777777" w:rsidR="00861E31" w:rsidRPr="00861E31" w:rsidRDefault="00861E31" w:rsidP="00861E31">
      <w:pPr>
        <w:numPr>
          <w:ilvl w:val="0"/>
          <w:numId w:val="1"/>
        </w:numPr>
        <w:rPr>
          <w:rFonts w:ascii="Calibri" w:hAnsi="Calibri" w:cs="Calibri"/>
          <w:sz w:val="22"/>
          <w:szCs w:val="22"/>
        </w:rPr>
      </w:pPr>
      <w:hyperlink r:id="rId5" w:tgtFrame="_blank" w:history="1">
        <w:proofErr w:type="gramStart"/>
        <w:r w:rsidRPr="00861E31">
          <w:rPr>
            <w:rStyle w:val="Hyperlink"/>
            <w:rFonts w:ascii="Calibri" w:hAnsi="Calibri" w:cs="Calibri"/>
            <w:sz w:val="22"/>
            <w:szCs w:val="22"/>
          </w:rPr>
          <w:t>Chinese(</w:t>
        </w:r>
        <w:proofErr w:type="gramEnd"/>
        <w:r w:rsidRPr="00861E31">
          <w:rPr>
            <w:rStyle w:val="Hyperlink"/>
            <w:rFonts w:ascii="Calibri" w:hAnsi="Calibri" w:cs="Calibri"/>
            <w:sz w:val="22"/>
            <w:szCs w:val="22"/>
          </w:rPr>
          <w:t>GB)</w:t>
        </w:r>
      </w:hyperlink>
    </w:p>
    <w:p w14:paraId="49E5E4BA" w14:textId="77777777" w:rsidR="00861E31" w:rsidRPr="00861E31" w:rsidRDefault="00861E31" w:rsidP="00861E31">
      <w:pPr>
        <w:numPr>
          <w:ilvl w:val="0"/>
          <w:numId w:val="1"/>
        </w:numPr>
        <w:rPr>
          <w:rFonts w:ascii="Calibri" w:hAnsi="Calibri" w:cs="Calibri"/>
          <w:sz w:val="22"/>
          <w:szCs w:val="22"/>
        </w:rPr>
      </w:pPr>
      <w:hyperlink r:id="rId6" w:tgtFrame="_blank" w:history="1">
        <w:r w:rsidRPr="00861E31">
          <w:rPr>
            <w:rStyle w:val="Hyperlink"/>
            <w:rFonts w:ascii="Calibri" w:hAnsi="Calibri" w:cs="Calibri"/>
            <w:sz w:val="22"/>
            <w:szCs w:val="22"/>
          </w:rPr>
          <w:t>RSS</w:t>
        </w:r>
      </w:hyperlink>
    </w:p>
    <w:p w14:paraId="13848745" w14:textId="77777777" w:rsidR="00861E31" w:rsidRPr="00861E31" w:rsidRDefault="00861E31" w:rsidP="00861E31">
      <w:pPr>
        <w:numPr>
          <w:ilvl w:val="0"/>
          <w:numId w:val="1"/>
        </w:numPr>
        <w:rPr>
          <w:rFonts w:ascii="Calibri" w:hAnsi="Calibri" w:cs="Calibri"/>
          <w:sz w:val="22"/>
          <w:szCs w:val="22"/>
        </w:rPr>
      </w:pPr>
      <w:hyperlink r:id="rId7" w:tgtFrame="_blank" w:history="1">
        <w:r w:rsidRPr="00861E31">
          <w:rPr>
            <w:rStyle w:val="Hyperlink"/>
            <w:rFonts w:ascii="Calibri" w:hAnsi="Calibri" w:cs="Calibri"/>
            <w:sz w:val="22"/>
            <w:szCs w:val="22"/>
          </w:rPr>
          <w:t>Organizational Chart</w:t>
        </w:r>
      </w:hyperlink>
    </w:p>
    <w:p w14:paraId="5E46116B" w14:textId="13BB089D" w:rsidR="00861E31" w:rsidRPr="00861E31" w:rsidRDefault="00861E31" w:rsidP="00861E31">
      <w:pPr>
        <w:rPr>
          <w:rFonts w:ascii="Calibri" w:hAnsi="Calibri" w:cs="Calibri"/>
          <w:sz w:val="22"/>
          <w:szCs w:val="22"/>
        </w:rPr>
      </w:pPr>
      <w:r w:rsidRPr="00861E31">
        <w:rPr>
          <w:rFonts w:ascii="Calibri" w:hAnsi="Calibri" w:cs="Calibri"/>
          <w:sz w:val="22"/>
          <w:szCs w:val="22"/>
        </w:rPr>
        <w:drawing>
          <wp:inline distT="0" distB="0" distL="0" distR="0" wp14:anchorId="4616F2FD" wp14:editId="59EDD2C0">
            <wp:extent cx="6645910" cy="641350"/>
            <wp:effectExtent l="0" t="0" r="2540" b="6350"/>
            <wp:docPr id="1637057945" name="Picture 8">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641350"/>
                    </a:xfrm>
                    <a:prstGeom prst="rect">
                      <a:avLst/>
                    </a:prstGeom>
                    <a:noFill/>
                    <a:ln>
                      <a:noFill/>
                    </a:ln>
                  </pic:spPr>
                </pic:pic>
              </a:graphicData>
            </a:graphic>
          </wp:inline>
        </w:drawing>
      </w:r>
    </w:p>
    <w:p w14:paraId="41172E48" w14:textId="77777777" w:rsidR="00861E31" w:rsidRPr="00861E31" w:rsidRDefault="00861E31" w:rsidP="00861E31">
      <w:pPr>
        <w:rPr>
          <w:rFonts w:ascii="Calibri" w:hAnsi="Calibri" w:cs="Calibri"/>
          <w:vanish/>
          <w:sz w:val="22"/>
          <w:szCs w:val="22"/>
        </w:rPr>
      </w:pPr>
      <w:r w:rsidRPr="00861E31">
        <w:rPr>
          <w:rFonts w:ascii="Calibri" w:hAnsi="Calibri" w:cs="Calibri"/>
          <w:vanish/>
          <w:sz w:val="22"/>
          <w:szCs w:val="22"/>
        </w:rPr>
        <w:t>Top of Form</w:t>
      </w:r>
    </w:p>
    <w:p w14:paraId="31575606" w14:textId="77777777" w:rsidR="00861E31" w:rsidRPr="00861E31" w:rsidRDefault="00861E31" w:rsidP="00861E31">
      <w:pPr>
        <w:rPr>
          <w:rFonts w:ascii="Calibri" w:hAnsi="Calibri" w:cs="Calibri"/>
          <w:vanish/>
          <w:sz w:val="22"/>
          <w:szCs w:val="22"/>
        </w:rPr>
      </w:pPr>
      <w:r w:rsidRPr="00861E31">
        <w:rPr>
          <w:rFonts w:ascii="Calibri" w:hAnsi="Calibri" w:cs="Calibri"/>
          <w:vanish/>
          <w:sz w:val="22"/>
          <w:szCs w:val="22"/>
        </w:rPr>
        <w:t>Bottom of Form</w:t>
      </w:r>
    </w:p>
    <w:p w14:paraId="7E8C0429" w14:textId="77777777" w:rsidR="00861E31" w:rsidRPr="00861E31" w:rsidRDefault="00861E31" w:rsidP="00861E31">
      <w:pPr>
        <w:numPr>
          <w:ilvl w:val="0"/>
          <w:numId w:val="2"/>
        </w:numPr>
        <w:rPr>
          <w:rFonts w:ascii="Calibri" w:hAnsi="Calibri" w:cs="Calibri"/>
          <w:sz w:val="22"/>
          <w:szCs w:val="22"/>
        </w:rPr>
      </w:pPr>
    </w:p>
    <w:p w14:paraId="5C888CE2" w14:textId="77777777" w:rsidR="00861E31" w:rsidRPr="00861E31" w:rsidRDefault="00861E31" w:rsidP="00861E31">
      <w:pPr>
        <w:numPr>
          <w:ilvl w:val="0"/>
          <w:numId w:val="2"/>
        </w:numPr>
        <w:rPr>
          <w:rFonts w:ascii="Calibri" w:hAnsi="Calibri" w:cs="Calibri"/>
          <w:sz w:val="22"/>
          <w:szCs w:val="22"/>
        </w:rPr>
      </w:pPr>
      <w:hyperlink r:id="rId10" w:history="1">
        <w:r w:rsidRPr="00861E31">
          <w:rPr>
            <w:rStyle w:val="Hyperlink"/>
            <w:rFonts w:ascii="Calibri" w:hAnsi="Calibri" w:cs="Calibri"/>
            <w:sz w:val="22"/>
            <w:szCs w:val="22"/>
          </w:rPr>
          <w:t>Data</w:t>
        </w:r>
      </w:hyperlink>
    </w:p>
    <w:p w14:paraId="7D919AD5" w14:textId="77777777" w:rsidR="00861E31" w:rsidRPr="00861E31" w:rsidRDefault="00861E31" w:rsidP="00861E31">
      <w:pPr>
        <w:numPr>
          <w:ilvl w:val="0"/>
          <w:numId w:val="2"/>
        </w:numPr>
        <w:rPr>
          <w:rFonts w:ascii="Calibri" w:hAnsi="Calibri" w:cs="Calibri"/>
          <w:sz w:val="22"/>
          <w:szCs w:val="22"/>
        </w:rPr>
      </w:pPr>
      <w:hyperlink r:id="rId11" w:history="1">
        <w:r w:rsidRPr="00861E31">
          <w:rPr>
            <w:rStyle w:val="Hyperlink"/>
            <w:rFonts w:ascii="Calibri" w:hAnsi="Calibri" w:cs="Calibri"/>
            <w:sz w:val="22"/>
            <w:szCs w:val="22"/>
          </w:rPr>
          <w:t>Communiqués</w:t>
        </w:r>
      </w:hyperlink>
    </w:p>
    <w:p w14:paraId="55EDCA53" w14:textId="77777777" w:rsidR="00861E31" w:rsidRPr="00861E31" w:rsidRDefault="00861E31" w:rsidP="00861E31">
      <w:pPr>
        <w:numPr>
          <w:ilvl w:val="0"/>
          <w:numId w:val="2"/>
        </w:numPr>
        <w:rPr>
          <w:rFonts w:ascii="Calibri" w:hAnsi="Calibri" w:cs="Calibri"/>
          <w:sz w:val="22"/>
          <w:szCs w:val="22"/>
        </w:rPr>
      </w:pPr>
      <w:hyperlink r:id="rId12" w:history="1">
        <w:r w:rsidRPr="00861E31">
          <w:rPr>
            <w:rStyle w:val="Hyperlink"/>
            <w:rFonts w:ascii="Calibri" w:hAnsi="Calibri" w:cs="Calibri"/>
            <w:sz w:val="22"/>
            <w:szCs w:val="22"/>
          </w:rPr>
          <w:t>Legal Framework</w:t>
        </w:r>
      </w:hyperlink>
    </w:p>
    <w:p w14:paraId="1E77B031" w14:textId="77777777" w:rsidR="00861E31" w:rsidRPr="00861E31" w:rsidRDefault="00861E31" w:rsidP="00861E31">
      <w:pPr>
        <w:numPr>
          <w:ilvl w:val="0"/>
          <w:numId w:val="2"/>
        </w:numPr>
        <w:rPr>
          <w:rFonts w:ascii="Calibri" w:hAnsi="Calibri" w:cs="Calibri"/>
          <w:sz w:val="22"/>
          <w:szCs w:val="22"/>
        </w:rPr>
      </w:pPr>
      <w:hyperlink r:id="rId13" w:history="1">
        <w:r w:rsidRPr="00861E31">
          <w:rPr>
            <w:rStyle w:val="Hyperlink"/>
            <w:rFonts w:ascii="Calibri" w:hAnsi="Calibri" w:cs="Calibri"/>
            <w:sz w:val="22"/>
            <w:szCs w:val="22"/>
          </w:rPr>
          <w:t>Classifications &amp; Methods</w:t>
        </w:r>
      </w:hyperlink>
    </w:p>
    <w:p w14:paraId="70AEF9B3" w14:textId="77777777" w:rsidR="00861E31" w:rsidRPr="00861E31" w:rsidRDefault="00861E31" w:rsidP="00861E31">
      <w:pPr>
        <w:numPr>
          <w:ilvl w:val="0"/>
          <w:numId w:val="2"/>
        </w:numPr>
        <w:rPr>
          <w:rFonts w:ascii="Calibri" w:hAnsi="Calibri" w:cs="Calibri"/>
          <w:sz w:val="22"/>
          <w:szCs w:val="22"/>
        </w:rPr>
      </w:pPr>
      <w:hyperlink r:id="rId14" w:history="1">
        <w:r w:rsidRPr="00861E31">
          <w:rPr>
            <w:rStyle w:val="Hyperlink"/>
            <w:rFonts w:ascii="Calibri" w:hAnsi="Calibri" w:cs="Calibri"/>
            <w:sz w:val="22"/>
            <w:szCs w:val="22"/>
          </w:rPr>
          <w:t>Latest Releases</w:t>
        </w:r>
      </w:hyperlink>
    </w:p>
    <w:p w14:paraId="03AE472F" w14:textId="77777777" w:rsidR="00861E31" w:rsidRPr="00861E31" w:rsidRDefault="00861E31" w:rsidP="00861E31">
      <w:pPr>
        <w:numPr>
          <w:ilvl w:val="0"/>
          <w:numId w:val="2"/>
        </w:numPr>
        <w:rPr>
          <w:rFonts w:ascii="Calibri" w:hAnsi="Calibri" w:cs="Calibri"/>
          <w:sz w:val="22"/>
          <w:szCs w:val="22"/>
        </w:rPr>
      </w:pPr>
      <w:hyperlink r:id="rId15" w:history="1">
        <w:r w:rsidRPr="00861E31">
          <w:rPr>
            <w:rStyle w:val="Hyperlink"/>
            <w:rFonts w:ascii="Calibri" w:hAnsi="Calibri" w:cs="Calibri"/>
            <w:sz w:val="22"/>
            <w:szCs w:val="22"/>
          </w:rPr>
          <w:t>International Cooperation</w:t>
        </w:r>
      </w:hyperlink>
    </w:p>
    <w:p w14:paraId="4FED92FE" w14:textId="77777777" w:rsidR="00861E31" w:rsidRPr="00861E31" w:rsidRDefault="00861E31" w:rsidP="00861E31">
      <w:pPr>
        <w:numPr>
          <w:ilvl w:val="0"/>
          <w:numId w:val="2"/>
        </w:numPr>
        <w:rPr>
          <w:rFonts w:ascii="Calibri" w:hAnsi="Calibri" w:cs="Calibri"/>
          <w:sz w:val="22"/>
          <w:szCs w:val="22"/>
        </w:rPr>
      </w:pPr>
      <w:hyperlink r:id="rId16" w:history="1">
        <w:r w:rsidRPr="00861E31">
          <w:rPr>
            <w:rStyle w:val="Hyperlink"/>
            <w:rFonts w:ascii="Calibri" w:hAnsi="Calibri" w:cs="Calibri"/>
            <w:sz w:val="22"/>
            <w:szCs w:val="22"/>
          </w:rPr>
          <w:t>Understanding Statistics</w:t>
        </w:r>
      </w:hyperlink>
    </w:p>
    <w:p w14:paraId="682CE799" w14:textId="77777777" w:rsidR="00861E31" w:rsidRPr="00861E31" w:rsidRDefault="00861E31" w:rsidP="00861E31">
      <w:pPr>
        <w:numPr>
          <w:ilvl w:val="0"/>
          <w:numId w:val="2"/>
        </w:numPr>
        <w:rPr>
          <w:rFonts w:ascii="Calibri" w:hAnsi="Calibri" w:cs="Calibri"/>
          <w:sz w:val="22"/>
          <w:szCs w:val="22"/>
        </w:rPr>
      </w:pPr>
      <w:hyperlink r:id="rId17" w:history="1">
        <w:r w:rsidRPr="00861E31">
          <w:rPr>
            <w:rStyle w:val="Hyperlink"/>
            <w:rFonts w:ascii="Calibri" w:hAnsi="Calibri" w:cs="Calibri"/>
            <w:sz w:val="22"/>
            <w:szCs w:val="22"/>
          </w:rPr>
          <w:t>Agency</w:t>
        </w:r>
      </w:hyperlink>
    </w:p>
    <w:p w14:paraId="1DBDC3CF" w14:textId="77777777" w:rsidR="00861E31" w:rsidRPr="00861E31" w:rsidRDefault="00861E31" w:rsidP="00861E31">
      <w:pPr>
        <w:rPr>
          <w:rFonts w:ascii="Calibri" w:hAnsi="Calibri" w:cs="Calibri"/>
          <w:sz w:val="22"/>
          <w:szCs w:val="22"/>
        </w:rPr>
      </w:pPr>
      <w:hyperlink r:id="rId18" w:history="1">
        <w:r w:rsidRPr="00861E31">
          <w:rPr>
            <w:rStyle w:val="Hyperlink"/>
            <w:rFonts w:ascii="Calibri" w:hAnsi="Calibri" w:cs="Calibri"/>
            <w:sz w:val="22"/>
            <w:szCs w:val="22"/>
          </w:rPr>
          <w:t>Home</w:t>
        </w:r>
      </w:hyperlink>
      <w:r w:rsidRPr="00861E31">
        <w:rPr>
          <w:rFonts w:ascii="Calibri" w:hAnsi="Calibri" w:cs="Calibri"/>
          <w:sz w:val="22"/>
          <w:szCs w:val="22"/>
        </w:rPr>
        <w:t> &gt; </w:t>
      </w:r>
      <w:hyperlink r:id="rId19" w:tooltip="Latest Releases" w:history="1">
        <w:r w:rsidRPr="00861E31">
          <w:rPr>
            <w:rStyle w:val="Hyperlink"/>
            <w:rFonts w:ascii="Calibri" w:hAnsi="Calibri" w:cs="Calibri"/>
            <w:sz w:val="22"/>
            <w:szCs w:val="22"/>
          </w:rPr>
          <w:t>Latest Releases</w:t>
        </w:r>
      </w:hyperlink>
    </w:p>
    <w:p w14:paraId="140D8CE8" w14:textId="77777777" w:rsidR="00861E31" w:rsidRPr="00861E31" w:rsidRDefault="00861E31" w:rsidP="00861E31">
      <w:pPr>
        <w:rPr>
          <w:rFonts w:ascii="Calibri" w:hAnsi="Calibri" w:cs="Calibri"/>
          <w:b/>
          <w:bCs/>
          <w:sz w:val="22"/>
          <w:szCs w:val="22"/>
        </w:rPr>
      </w:pPr>
      <w:r w:rsidRPr="00861E31">
        <w:rPr>
          <w:rFonts w:ascii="Calibri" w:hAnsi="Calibri" w:cs="Calibri"/>
          <w:b/>
          <w:bCs/>
          <w:sz w:val="22"/>
          <w:szCs w:val="22"/>
        </w:rPr>
        <w:t>Profit of Industrial Enterprises above the Designated Size in 2025</w:t>
      </w:r>
    </w:p>
    <w:p w14:paraId="66E3564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National Bureau of Statistics of </w:t>
      </w:r>
      <w:proofErr w:type="spellStart"/>
      <w:r w:rsidRPr="00861E31">
        <w:rPr>
          <w:rFonts w:ascii="Calibri" w:hAnsi="Calibri" w:cs="Calibri"/>
          <w:sz w:val="22"/>
          <w:szCs w:val="22"/>
        </w:rPr>
        <w:t>China2026</w:t>
      </w:r>
      <w:proofErr w:type="spellEnd"/>
      <w:r w:rsidRPr="00861E31">
        <w:rPr>
          <w:rFonts w:ascii="Calibri" w:hAnsi="Calibri" w:cs="Calibri"/>
          <w:sz w:val="22"/>
          <w:szCs w:val="22"/>
        </w:rPr>
        <w:t xml:space="preserve">-01-28 </w:t>
      </w:r>
      <w:proofErr w:type="spellStart"/>
      <w:r w:rsidRPr="00861E31">
        <w:rPr>
          <w:rFonts w:ascii="Calibri" w:hAnsi="Calibri" w:cs="Calibri"/>
          <w:sz w:val="22"/>
          <w:szCs w:val="22"/>
        </w:rPr>
        <w:t>09:30</w:t>
      </w:r>
      <w:hyperlink r:id="rId20" w:history="1">
        <w:r w:rsidRPr="00861E31">
          <w:rPr>
            <w:rStyle w:val="Hyperlink"/>
            <w:rFonts w:ascii="Calibri" w:hAnsi="Calibri" w:cs="Calibri"/>
            <w:sz w:val="22"/>
            <w:szCs w:val="22"/>
          </w:rPr>
          <w:t>Print</w:t>
        </w:r>
        <w:proofErr w:type="spellEnd"/>
      </w:hyperlink>
      <w:r w:rsidRPr="00861E31">
        <w:rPr>
          <w:rFonts w:ascii="Calibri" w:hAnsi="Calibri" w:cs="Calibri"/>
          <w:sz w:val="22"/>
          <w:szCs w:val="22"/>
        </w:rPr>
        <w:t>| </w:t>
      </w:r>
      <w:hyperlink r:id="rId21" w:history="1">
        <w:r w:rsidRPr="00861E31">
          <w:rPr>
            <w:rStyle w:val="Hyperlink"/>
            <w:rFonts w:ascii="Calibri" w:hAnsi="Calibri" w:cs="Calibri"/>
            <w:sz w:val="22"/>
            <w:szCs w:val="22"/>
          </w:rPr>
          <w:t>Large</w:t>
        </w:r>
      </w:hyperlink>
      <w:r w:rsidRPr="00861E31">
        <w:rPr>
          <w:rFonts w:ascii="Calibri" w:hAnsi="Calibri" w:cs="Calibri"/>
          <w:sz w:val="22"/>
          <w:szCs w:val="22"/>
        </w:rPr>
        <w:t>| </w:t>
      </w:r>
      <w:hyperlink r:id="rId22" w:history="1">
        <w:r w:rsidRPr="00861E31">
          <w:rPr>
            <w:rStyle w:val="Hyperlink"/>
            <w:rFonts w:ascii="Calibri" w:hAnsi="Calibri" w:cs="Calibri"/>
            <w:sz w:val="22"/>
            <w:szCs w:val="22"/>
          </w:rPr>
          <w:t>Medium</w:t>
        </w:r>
      </w:hyperlink>
      <w:r w:rsidRPr="00861E31">
        <w:rPr>
          <w:rFonts w:ascii="Calibri" w:hAnsi="Calibri" w:cs="Calibri"/>
          <w:sz w:val="22"/>
          <w:szCs w:val="22"/>
        </w:rPr>
        <w:t>| </w:t>
      </w:r>
      <w:hyperlink r:id="rId23" w:history="1">
        <w:r w:rsidRPr="00861E31">
          <w:rPr>
            <w:rStyle w:val="Hyperlink"/>
            <w:rFonts w:ascii="Calibri" w:hAnsi="Calibri" w:cs="Calibri"/>
            <w:sz w:val="22"/>
            <w:szCs w:val="22"/>
          </w:rPr>
          <w:t>Small</w:t>
        </w:r>
      </w:hyperlink>
    </w:p>
    <w:p w14:paraId="3A72C6C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In 2025, industrial enterprises above the designated size achieved a total profit of </w:t>
      </w:r>
      <w:r w:rsidRPr="00861E31">
        <w:rPr>
          <w:rFonts w:ascii="Calibri" w:hAnsi="Calibri" w:cs="Calibri"/>
          <w:sz w:val="22"/>
          <w:szCs w:val="22"/>
          <w:highlight w:val="yellow"/>
        </w:rPr>
        <w:t>7,398.</w:t>
      </w:r>
      <w:r w:rsidRPr="00861E31">
        <w:rPr>
          <w:rFonts w:ascii="Calibri" w:hAnsi="Calibri" w:cs="Calibri"/>
          <w:sz w:val="22"/>
          <w:szCs w:val="22"/>
        </w:rPr>
        <w:t>20 billion yuan, a year-on-year increase of 0.6% (calculated on a comparable basis, see Annotation II for details).</w:t>
      </w:r>
    </w:p>
    <w:p w14:paraId="603F9A7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0316154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In 2025, among industrial enterprises above the designated size, state-holding enterprises achieved a total profit of 2,056.10 billion yuan, a year-on-year decrease of 3.9%; shareholding enterprises realized a total profit of 5,540.83 billion yuan, a decrease of 0.1%; the total profits of enterprises funded by foreign investors and investors from Hong Kong, Macao and Taiwan reached 1,744.74 billion yuan, an increase of 4.2%; the total profits of private enterprises reached 2,281.06 billion yuan, remaining flat year on year.</w:t>
      </w:r>
    </w:p>
    <w:p w14:paraId="013B58A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5CC3DA6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In 2025, the mining industry realized a total profit of 834.51 billion yuan, a year-on-year decrease of 26.2%; the manufacturing industry realized a total profit of 5,691.57 billion yuan, an increase of 5.0%; the production and supply of electricity, thermal power, gas and water realized a total profit of 872.12 billion yuan, up 9.4%.</w:t>
      </w:r>
    </w:p>
    <w:p w14:paraId="609F727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5FF6208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In 2025, the profits of the main industries were as follows: the profit of the smelting and pressing of ferrous metals increased by 3.0 times compared with the previous year, the smelting and pressing of non-ferrous metals increased by 22.6%, the manufacture of computers, communication equipment and other electronic equipment increased by 19.5%, the production and supply of electricity and thermal power increased by 13.9%, the manufacture of special-purpose machinery increased by 5.7%, the manufacture of electrical machinery and apparatus increased by 4.9%, the </w:t>
      </w:r>
      <w:r w:rsidRPr="00861E31">
        <w:rPr>
          <w:rFonts w:ascii="Calibri" w:hAnsi="Calibri" w:cs="Calibri"/>
          <w:sz w:val="22"/>
          <w:szCs w:val="22"/>
        </w:rPr>
        <w:lastRenderedPageBreak/>
        <w:t>manufacture of general-purpose machinery increased by 4.2%, the processing of food from agricultural and sideline products increased by 3.2%, the manufacture of automobiles increased by 0.6%, the processing of petroleum, coal and other fuels recorded fewer losses compared with the previous year, the manufacture of non-metallic mineral products decreased by 1.7%, the manufacture of raw chemical materials and chemical products decreased by 7.3%, the textile industry decreased by 12.0%, the extraction of petroleum and natural gas decreased by 18.7%, and the mining and washing of coal decreased by 41.8%.</w:t>
      </w:r>
    </w:p>
    <w:p w14:paraId="004AE63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546D7EA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In 2025, industrial enterprises above the designated size achieved business revenue of 139.20 trillion yuan, a year-on-year increase of 1.1%; the operating costs were 118.75 trillion yuan, an increase of 1.3%; the profit rate of business revenue was 5.31%, a year-on-year decrease of 0.03 percentage points.</w:t>
      </w:r>
    </w:p>
    <w:p w14:paraId="07A1986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5D5F87D2" w14:textId="1237E420"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At the end of 2025, the assets of industrial enterprises above the designated size </w:t>
      </w:r>
      <w:proofErr w:type="spellStart"/>
      <w:r w:rsidRPr="00861E31">
        <w:rPr>
          <w:rFonts w:ascii="Calibri" w:hAnsi="Calibri" w:cs="Calibri"/>
          <w:sz w:val="22"/>
          <w:szCs w:val="22"/>
        </w:rPr>
        <w:t>totaled</w:t>
      </w:r>
      <w:proofErr w:type="spellEnd"/>
      <w:r w:rsidRPr="00861E31">
        <w:rPr>
          <w:rFonts w:ascii="Calibri" w:hAnsi="Calibri" w:cs="Calibri"/>
          <w:sz w:val="22"/>
          <w:szCs w:val="22"/>
        </w:rPr>
        <w:t xml:space="preserve"> </w:t>
      </w:r>
      <w:r w:rsidRPr="00861E31">
        <w:rPr>
          <w:rFonts w:ascii="Calibri" w:hAnsi="Calibri" w:cs="Calibri"/>
          <w:sz w:val="22"/>
          <w:szCs w:val="22"/>
          <w:highlight w:val="yellow"/>
        </w:rPr>
        <w:t>188.41</w:t>
      </w:r>
      <w:r w:rsidRPr="00861E31">
        <w:rPr>
          <w:rFonts w:ascii="Calibri" w:hAnsi="Calibri" w:cs="Calibri"/>
          <w:sz w:val="22"/>
          <w:szCs w:val="22"/>
        </w:rPr>
        <w:t xml:space="preserve"> trillion yuan, a year-on-year increase of 4.3%; the liabilities </w:t>
      </w:r>
      <w:proofErr w:type="spellStart"/>
      <w:r w:rsidRPr="00861E31">
        <w:rPr>
          <w:rFonts w:ascii="Calibri" w:hAnsi="Calibri" w:cs="Calibri"/>
          <w:sz w:val="22"/>
          <w:szCs w:val="22"/>
        </w:rPr>
        <w:t>totaled</w:t>
      </w:r>
      <w:proofErr w:type="spellEnd"/>
      <w:r w:rsidRPr="00861E31">
        <w:rPr>
          <w:rFonts w:ascii="Calibri" w:hAnsi="Calibri" w:cs="Calibri"/>
          <w:sz w:val="22"/>
          <w:szCs w:val="22"/>
        </w:rPr>
        <w:t xml:space="preserve"> 108.58 trillion yuan, an increase of 4.2%; the total owner’s equity was 79.82 trillion yuan, an increase of 4.5%; the asset-liability ratio was 57.6%, a year-on-year decrease of 0.1 percentage points.</w:t>
      </w:r>
      <w:r>
        <w:rPr>
          <w:rFonts w:ascii="Calibri" w:hAnsi="Calibri" w:cs="Calibri"/>
          <w:sz w:val="22"/>
          <w:szCs w:val="22"/>
        </w:rPr>
        <w:t xml:space="preserve"> Complex rate of return 7.398/188.41 = </w:t>
      </w:r>
      <w:r w:rsidRPr="00861E31">
        <w:rPr>
          <w:rFonts w:ascii="Calibri" w:hAnsi="Calibri" w:cs="Calibri"/>
          <w:sz w:val="22"/>
          <w:szCs w:val="22"/>
          <w:highlight w:val="yellow"/>
        </w:rPr>
        <w:t>3.92%</w:t>
      </w:r>
    </w:p>
    <w:p w14:paraId="34EA612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1E9EC5A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At the end of 2025, the accounts receivable of industrial enterprises above the designated size were 27.43 trillion yuan, a year-on-year increase of 4.7%; the inventory of finished goods was 6.73 trillion yuan, an increase of 3.9%.</w:t>
      </w:r>
    </w:p>
    <w:p w14:paraId="4C125EE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77CEC03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In 2025, the costs of industrial enterprises above the designated size for per-hundred-yuan business revenue were 85.31 yuan, a year-on-year increase of 0.16 yuan; the expenses for per-hundred-yuan business revenue were 8.62 yuan, a year-on-year decrease of 0.02 yuan.</w:t>
      </w:r>
    </w:p>
    <w:p w14:paraId="51B00B9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69B88593" w14:textId="1A631426" w:rsidR="00861E31" w:rsidRPr="00861E31" w:rsidRDefault="00861E31" w:rsidP="00861E31">
      <w:pPr>
        <w:rPr>
          <w:rFonts w:ascii="Calibri" w:hAnsi="Calibri" w:cs="Calibri"/>
          <w:sz w:val="22"/>
          <w:szCs w:val="22"/>
        </w:rPr>
      </w:pPr>
      <w:r w:rsidRPr="00861E31">
        <w:rPr>
          <w:rFonts w:ascii="Calibri" w:hAnsi="Calibri" w:cs="Calibri"/>
          <w:sz w:val="22"/>
          <w:szCs w:val="22"/>
        </w:rPr>
        <w:t>At the end of 2025, the business revenue brought by per-hundred-yuan assets of industrial enterprises above the designated size was 75.9 yuan, a year-on-year decrease of 2.7 yuan; the per capita business revenue was 1.889 million yuan, a year-on-year increase of 55 thousand yuan; the turnover days of finished goods were 19.9 days, a year-on-year increase of 0.6 day; the average collection period of accounts receivable was 67.9 days, a year-on-year increase of 3.6 days.</w:t>
      </w:r>
      <w:r>
        <w:rPr>
          <w:rFonts w:ascii="Calibri" w:hAnsi="Calibri" w:cs="Calibri"/>
          <w:sz w:val="22"/>
          <w:szCs w:val="22"/>
        </w:rPr>
        <w:t xml:space="preserve"> </w:t>
      </w:r>
      <w:r w:rsidRPr="00861E31">
        <w:rPr>
          <w:rFonts w:ascii="Calibri" w:hAnsi="Calibri" w:cs="Calibri"/>
          <w:sz w:val="22"/>
          <w:szCs w:val="22"/>
          <w:highlight w:val="yellow"/>
        </w:rPr>
        <w:t>365</w:t>
      </w:r>
      <w:proofErr w:type="gramStart"/>
      <w:r w:rsidRPr="00861E31">
        <w:rPr>
          <w:rFonts w:ascii="Calibri" w:hAnsi="Calibri" w:cs="Calibri"/>
          <w:sz w:val="22"/>
          <w:szCs w:val="22"/>
          <w:highlight w:val="yellow"/>
        </w:rPr>
        <w:t>/(</w:t>
      </w:r>
      <w:proofErr w:type="gramEnd"/>
      <w:r w:rsidRPr="00861E31">
        <w:rPr>
          <w:rFonts w:ascii="Calibri" w:hAnsi="Calibri" w:cs="Calibri"/>
          <w:sz w:val="22"/>
          <w:szCs w:val="22"/>
          <w:highlight w:val="yellow"/>
        </w:rPr>
        <w:t>67.9 + 19.9) = 4.16</w:t>
      </w:r>
    </w:p>
    <w:p w14:paraId="66E958A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20FBE3D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In December, the total profits of industrial enterprises above the designated size increased by 5.3% year on year.</w:t>
      </w:r>
    </w:p>
    <w:p w14:paraId="7A60F77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75025ED4" w14:textId="7A9D3783" w:rsidR="00861E31" w:rsidRPr="00861E31" w:rsidRDefault="00861E31" w:rsidP="00861E31">
      <w:pPr>
        <w:rPr>
          <w:rFonts w:ascii="Calibri" w:hAnsi="Calibri" w:cs="Calibri"/>
          <w:sz w:val="22"/>
          <w:szCs w:val="22"/>
        </w:rPr>
      </w:pPr>
      <w:r w:rsidRPr="00861E31">
        <w:rPr>
          <w:rFonts w:ascii="Calibri" w:hAnsi="Calibri" w:cs="Calibri"/>
          <w:sz w:val="22"/>
          <w:szCs w:val="22"/>
        </w:rPr>
        <w:lastRenderedPageBreak/>
        <w:drawing>
          <wp:inline distT="0" distB="0" distL="0" distR="0" wp14:anchorId="7974AA26" wp14:editId="29AD5B88">
            <wp:extent cx="6286500" cy="4191000"/>
            <wp:effectExtent l="0" t="0" r="0" b="0"/>
            <wp:docPr id="123839190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76FCD9A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5D37F35A" w14:textId="4D956080" w:rsidR="00861E31" w:rsidRPr="00861E31" w:rsidRDefault="00861E31" w:rsidP="00861E31">
      <w:pPr>
        <w:rPr>
          <w:rFonts w:ascii="Calibri" w:hAnsi="Calibri" w:cs="Calibri"/>
          <w:sz w:val="22"/>
          <w:szCs w:val="22"/>
        </w:rPr>
      </w:pPr>
      <w:r w:rsidRPr="00861E31">
        <w:rPr>
          <w:rFonts w:ascii="Calibri" w:hAnsi="Calibri" w:cs="Calibri"/>
          <w:sz w:val="22"/>
          <w:szCs w:val="22"/>
        </w:rPr>
        <w:drawing>
          <wp:inline distT="0" distB="0" distL="0" distR="0" wp14:anchorId="0BB076A2" wp14:editId="640C7946">
            <wp:extent cx="6286500" cy="4191000"/>
            <wp:effectExtent l="0" t="0" r="0" b="0"/>
            <wp:docPr id="11298716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467FA95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2A918E02" w14:textId="26D81BCA" w:rsidR="00861E31" w:rsidRPr="00861E31" w:rsidRDefault="00861E31" w:rsidP="00861E31">
      <w:pPr>
        <w:rPr>
          <w:rFonts w:ascii="Calibri" w:hAnsi="Calibri" w:cs="Calibri"/>
          <w:sz w:val="22"/>
          <w:szCs w:val="22"/>
        </w:rPr>
      </w:pPr>
      <w:r w:rsidRPr="00861E31">
        <w:rPr>
          <w:rFonts w:ascii="Calibri" w:hAnsi="Calibri" w:cs="Calibri"/>
          <w:sz w:val="22"/>
          <w:szCs w:val="22"/>
        </w:rPr>
        <w:lastRenderedPageBreak/>
        <w:drawing>
          <wp:inline distT="0" distB="0" distL="0" distR="0" wp14:anchorId="0BC3DE06" wp14:editId="29CC8A08">
            <wp:extent cx="6286500" cy="4191000"/>
            <wp:effectExtent l="0" t="0" r="0" b="0"/>
            <wp:docPr id="18121272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2D01BD2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36C2D750"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Key Financial Indicators of Industrial Enterprises above the Designated Size from January to December in 2025</w:t>
      </w:r>
    </w:p>
    <w:p w14:paraId="6BCAF6D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tbl>
      <w:tblPr>
        <w:tblW w:w="5000" w:type="pct"/>
        <w:tblCellMar>
          <w:left w:w="0" w:type="dxa"/>
          <w:right w:w="0" w:type="dxa"/>
        </w:tblCellMar>
        <w:tblLook w:val="04A0" w:firstRow="1" w:lastRow="0" w:firstColumn="1" w:lastColumn="0" w:noHBand="0" w:noVBand="1"/>
      </w:tblPr>
      <w:tblGrid>
        <w:gridCol w:w="2476"/>
        <w:gridCol w:w="1530"/>
        <w:gridCol w:w="1319"/>
        <w:gridCol w:w="1530"/>
        <w:gridCol w:w="1319"/>
        <w:gridCol w:w="1222"/>
        <w:gridCol w:w="1070"/>
      </w:tblGrid>
      <w:tr w:rsidR="00861E31" w:rsidRPr="00861E31" w14:paraId="6E42CBAF" w14:textId="77777777" w:rsidTr="00861E31">
        <w:trPr>
          <w:trHeight w:val="552"/>
        </w:trPr>
        <w:tc>
          <w:tcPr>
            <w:tcW w:w="1183" w:type="pct"/>
            <w:vMerge w:val="restart"/>
            <w:tcBorders>
              <w:top w:val="single" w:sz="12" w:space="0" w:color="000000"/>
              <w:left w:val="nil"/>
              <w:bottom w:val="single" w:sz="6" w:space="0" w:color="000000"/>
              <w:right w:val="single" w:sz="6" w:space="0" w:color="000000"/>
            </w:tcBorders>
            <w:shd w:val="clear" w:color="auto" w:fill="E6E6E6"/>
            <w:tcMar>
              <w:top w:w="0" w:type="dxa"/>
              <w:left w:w="0" w:type="dxa"/>
              <w:bottom w:w="0" w:type="dxa"/>
              <w:right w:w="62" w:type="dxa"/>
            </w:tcMar>
            <w:vAlign w:val="center"/>
            <w:hideMark/>
          </w:tcPr>
          <w:p w14:paraId="646CB40D"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Indicators</w:t>
            </w:r>
          </w:p>
        </w:tc>
        <w:tc>
          <w:tcPr>
            <w:tcW w:w="1361" w:type="pct"/>
            <w:gridSpan w:val="2"/>
            <w:tcBorders>
              <w:top w:val="single" w:sz="12" w:space="0" w:color="000000"/>
              <w:left w:val="single" w:sz="6" w:space="0" w:color="000000"/>
              <w:bottom w:val="single" w:sz="6" w:space="0" w:color="000000"/>
              <w:right w:val="single" w:sz="6" w:space="0" w:color="000000"/>
            </w:tcBorders>
            <w:shd w:val="clear" w:color="auto" w:fill="E6E6E6"/>
            <w:tcMar>
              <w:top w:w="0" w:type="dxa"/>
              <w:left w:w="0" w:type="dxa"/>
              <w:bottom w:w="0" w:type="dxa"/>
              <w:right w:w="62" w:type="dxa"/>
            </w:tcMar>
            <w:vAlign w:val="center"/>
            <w:hideMark/>
          </w:tcPr>
          <w:p w14:paraId="39445308"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Business Revenue</w:t>
            </w:r>
          </w:p>
        </w:tc>
        <w:tc>
          <w:tcPr>
            <w:tcW w:w="1361" w:type="pct"/>
            <w:gridSpan w:val="2"/>
            <w:tcBorders>
              <w:top w:val="single" w:sz="12" w:space="0" w:color="000000"/>
              <w:left w:val="single" w:sz="6" w:space="0" w:color="000000"/>
              <w:bottom w:val="single" w:sz="6" w:space="0" w:color="000000"/>
              <w:right w:val="single" w:sz="6" w:space="0" w:color="000000"/>
            </w:tcBorders>
            <w:shd w:val="clear" w:color="auto" w:fill="E6E6E6"/>
            <w:tcMar>
              <w:top w:w="0" w:type="dxa"/>
              <w:left w:w="0" w:type="dxa"/>
              <w:bottom w:w="0" w:type="dxa"/>
              <w:right w:w="62" w:type="dxa"/>
            </w:tcMar>
            <w:vAlign w:val="center"/>
            <w:hideMark/>
          </w:tcPr>
          <w:p w14:paraId="0D321A7F"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Operating Costs</w:t>
            </w:r>
          </w:p>
        </w:tc>
        <w:tc>
          <w:tcPr>
            <w:tcW w:w="1095" w:type="pct"/>
            <w:gridSpan w:val="2"/>
            <w:tcBorders>
              <w:top w:val="single" w:sz="12" w:space="0" w:color="000000"/>
              <w:left w:val="single" w:sz="6" w:space="0" w:color="000000"/>
              <w:bottom w:val="single" w:sz="6" w:space="0" w:color="000000"/>
              <w:right w:val="nil"/>
            </w:tcBorders>
            <w:shd w:val="clear" w:color="auto" w:fill="E6E6E6"/>
            <w:tcMar>
              <w:top w:w="0" w:type="dxa"/>
              <w:left w:w="0" w:type="dxa"/>
              <w:bottom w:w="0" w:type="dxa"/>
              <w:right w:w="85" w:type="dxa"/>
            </w:tcMar>
            <w:vAlign w:val="center"/>
            <w:hideMark/>
          </w:tcPr>
          <w:p w14:paraId="562F43A4"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Total Profits</w:t>
            </w:r>
          </w:p>
        </w:tc>
      </w:tr>
      <w:tr w:rsidR="00861E31" w:rsidRPr="00861E31" w14:paraId="041A405C" w14:textId="77777777" w:rsidTr="00861E31">
        <w:trPr>
          <w:trHeight w:val="552"/>
        </w:trPr>
        <w:tc>
          <w:tcPr>
            <w:tcW w:w="1183" w:type="pct"/>
            <w:vMerge/>
            <w:tcBorders>
              <w:top w:val="single" w:sz="12" w:space="0" w:color="000000"/>
              <w:left w:val="nil"/>
              <w:bottom w:val="single" w:sz="6" w:space="0" w:color="000000"/>
              <w:right w:val="single" w:sz="6" w:space="0" w:color="000000"/>
            </w:tcBorders>
            <w:vAlign w:val="center"/>
            <w:hideMark/>
          </w:tcPr>
          <w:p w14:paraId="138CE200" w14:textId="77777777" w:rsidR="00861E31" w:rsidRPr="00861E31" w:rsidRDefault="00861E31" w:rsidP="00861E31">
            <w:pPr>
              <w:rPr>
                <w:rFonts w:ascii="Calibri" w:hAnsi="Calibri" w:cs="Calibri"/>
                <w:sz w:val="22"/>
                <w:szCs w:val="22"/>
              </w:rPr>
            </w:pPr>
          </w:p>
        </w:tc>
        <w:tc>
          <w:tcPr>
            <w:tcW w:w="731"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62" w:type="dxa"/>
            </w:tcMar>
            <w:vAlign w:val="center"/>
            <w:hideMark/>
          </w:tcPr>
          <w:p w14:paraId="1EC6E35B"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Volume</w:t>
            </w:r>
          </w:p>
          <w:p w14:paraId="4F0CED3A"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(100 million yuan)</w:t>
            </w:r>
          </w:p>
        </w:tc>
        <w:tc>
          <w:tcPr>
            <w:tcW w:w="630"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62" w:type="dxa"/>
            </w:tcMar>
            <w:vAlign w:val="center"/>
            <w:hideMark/>
          </w:tcPr>
          <w:p w14:paraId="3DF5BBBD"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Growth Rate Y/Y</w:t>
            </w:r>
          </w:p>
          <w:p w14:paraId="17300A32"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c>
          <w:tcPr>
            <w:tcW w:w="731"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62" w:type="dxa"/>
            </w:tcMar>
            <w:vAlign w:val="center"/>
            <w:hideMark/>
          </w:tcPr>
          <w:p w14:paraId="2903CD0C"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Volume</w:t>
            </w:r>
          </w:p>
          <w:p w14:paraId="11DE17A2"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(100 million yuan)</w:t>
            </w:r>
          </w:p>
        </w:tc>
        <w:tc>
          <w:tcPr>
            <w:tcW w:w="630"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62" w:type="dxa"/>
            </w:tcMar>
            <w:vAlign w:val="center"/>
            <w:hideMark/>
          </w:tcPr>
          <w:p w14:paraId="103D6644"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Growth Rate Y/Y</w:t>
            </w:r>
          </w:p>
          <w:p w14:paraId="1E88EBF6"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c>
          <w:tcPr>
            <w:tcW w:w="584" w:type="pct"/>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62" w:type="dxa"/>
            </w:tcMar>
            <w:vAlign w:val="center"/>
            <w:hideMark/>
          </w:tcPr>
          <w:p w14:paraId="05D10B1F"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Volume</w:t>
            </w:r>
          </w:p>
          <w:p w14:paraId="3FA45411"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(100 million yuan)</w:t>
            </w:r>
          </w:p>
        </w:tc>
        <w:tc>
          <w:tcPr>
            <w:tcW w:w="510" w:type="pct"/>
            <w:tcBorders>
              <w:top w:val="single" w:sz="6" w:space="0" w:color="000000"/>
              <w:left w:val="single" w:sz="6" w:space="0" w:color="000000"/>
              <w:bottom w:val="single" w:sz="6" w:space="0" w:color="000000"/>
              <w:right w:val="nil"/>
            </w:tcBorders>
            <w:shd w:val="clear" w:color="auto" w:fill="E6E6E6"/>
            <w:tcMar>
              <w:top w:w="0" w:type="dxa"/>
              <w:left w:w="0" w:type="dxa"/>
              <w:bottom w:w="0" w:type="dxa"/>
              <w:right w:w="85" w:type="dxa"/>
            </w:tcMar>
            <w:vAlign w:val="center"/>
            <w:hideMark/>
          </w:tcPr>
          <w:p w14:paraId="1E39E5AC"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Growth Rate Y/Y</w:t>
            </w:r>
          </w:p>
          <w:p w14:paraId="2E2CB4A1"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r>
      <w:tr w:rsidR="00861E31" w:rsidRPr="00861E31" w14:paraId="70AA2B06" w14:textId="77777777" w:rsidTr="00861E31">
        <w:trPr>
          <w:trHeight w:val="283"/>
        </w:trPr>
        <w:tc>
          <w:tcPr>
            <w:tcW w:w="1183" w:type="pct"/>
            <w:tcBorders>
              <w:top w:val="single" w:sz="6" w:space="0" w:color="000000"/>
              <w:left w:val="nil"/>
              <w:bottom w:val="nil"/>
              <w:right w:val="single" w:sz="6" w:space="0" w:color="000000"/>
            </w:tcBorders>
            <w:shd w:val="clear" w:color="auto" w:fill="E6E6E6"/>
            <w:tcMar>
              <w:top w:w="0" w:type="dxa"/>
              <w:left w:w="0" w:type="dxa"/>
              <w:bottom w:w="0" w:type="dxa"/>
              <w:right w:w="62" w:type="dxa"/>
            </w:tcMar>
            <w:vAlign w:val="center"/>
            <w:hideMark/>
          </w:tcPr>
          <w:p w14:paraId="7E23C1E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Total</w:t>
            </w:r>
          </w:p>
        </w:tc>
        <w:tc>
          <w:tcPr>
            <w:tcW w:w="731"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3CD32C9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1391980.6</w:t>
            </w:r>
          </w:p>
        </w:tc>
        <w:tc>
          <w:tcPr>
            <w:tcW w:w="630"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0C61623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w:t>
            </w:r>
          </w:p>
        </w:tc>
        <w:tc>
          <w:tcPr>
            <w:tcW w:w="731"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0F01798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1187524.1</w:t>
            </w:r>
          </w:p>
        </w:tc>
        <w:tc>
          <w:tcPr>
            <w:tcW w:w="630"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46A0D81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w:t>
            </w:r>
          </w:p>
        </w:tc>
        <w:tc>
          <w:tcPr>
            <w:tcW w:w="584"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238E90D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73982.0</w:t>
            </w:r>
          </w:p>
        </w:tc>
        <w:tc>
          <w:tcPr>
            <w:tcW w:w="510" w:type="pct"/>
            <w:tcBorders>
              <w:top w:val="single" w:sz="6" w:space="0" w:color="000000"/>
              <w:left w:val="single" w:sz="6" w:space="0" w:color="000000"/>
              <w:bottom w:val="nil"/>
              <w:right w:val="nil"/>
            </w:tcBorders>
            <w:tcMar>
              <w:top w:w="0" w:type="dxa"/>
              <w:left w:w="0" w:type="dxa"/>
              <w:bottom w:w="0" w:type="dxa"/>
              <w:right w:w="85" w:type="dxa"/>
            </w:tcMar>
            <w:vAlign w:val="center"/>
            <w:hideMark/>
          </w:tcPr>
          <w:p w14:paraId="2F587C6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0.6</w:t>
            </w:r>
          </w:p>
        </w:tc>
      </w:tr>
      <w:tr w:rsidR="00861E31" w:rsidRPr="00861E31" w14:paraId="4F8B98CA" w14:textId="77777777" w:rsidTr="00861E31">
        <w:trPr>
          <w:trHeight w:val="283"/>
        </w:trPr>
        <w:tc>
          <w:tcPr>
            <w:tcW w:w="1183"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4B4185A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Of which: Mining</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BB251D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52460.6</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2FA284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-10.9</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1E7113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36440.0</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88C4F7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-7.1</w:t>
            </w:r>
          </w:p>
        </w:tc>
        <w:tc>
          <w:tcPr>
            <w:tcW w:w="584"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9D12B9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8345.1</w:t>
            </w:r>
          </w:p>
        </w:tc>
        <w:tc>
          <w:tcPr>
            <w:tcW w:w="510" w:type="pct"/>
            <w:tcBorders>
              <w:top w:val="nil"/>
              <w:left w:val="single" w:sz="6" w:space="0" w:color="000000"/>
              <w:bottom w:val="nil"/>
              <w:right w:val="nil"/>
            </w:tcBorders>
            <w:tcMar>
              <w:top w:w="0" w:type="dxa"/>
              <w:left w:w="0" w:type="dxa"/>
              <w:bottom w:w="0" w:type="dxa"/>
              <w:right w:w="85" w:type="dxa"/>
            </w:tcMar>
            <w:vAlign w:val="center"/>
            <w:hideMark/>
          </w:tcPr>
          <w:p w14:paraId="4882733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-26.2</w:t>
            </w:r>
          </w:p>
        </w:tc>
      </w:tr>
      <w:tr w:rsidR="00861E31" w:rsidRPr="00861E31" w14:paraId="3A100CB5" w14:textId="77777777" w:rsidTr="00861E31">
        <w:trPr>
          <w:trHeight w:val="283"/>
        </w:trPr>
        <w:tc>
          <w:tcPr>
            <w:tcW w:w="1183"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9716EF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Manufacturing</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FBB2E6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1210695.7</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AEF3CF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1.8</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702C7F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1036411.1</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0BF233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w:t>
            </w:r>
          </w:p>
        </w:tc>
        <w:tc>
          <w:tcPr>
            <w:tcW w:w="584"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B66A1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56915.7</w:t>
            </w:r>
          </w:p>
        </w:tc>
        <w:tc>
          <w:tcPr>
            <w:tcW w:w="510" w:type="pct"/>
            <w:tcBorders>
              <w:top w:val="nil"/>
              <w:left w:val="single" w:sz="6" w:space="0" w:color="000000"/>
              <w:bottom w:val="nil"/>
              <w:right w:val="nil"/>
            </w:tcBorders>
            <w:tcMar>
              <w:top w:w="0" w:type="dxa"/>
              <w:left w:w="0" w:type="dxa"/>
              <w:bottom w:w="0" w:type="dxa"/>
              <w:right w:w="85" w:type="dxa"/>
            </w:tcMar>
            <w:vAlign w:val="center"/>
            <w:hideMark/>
          </w:tcPr>
          <w:p w14:paraId="0411CDC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5.0</w:t>
            </w:r>
          </w:p>
        </w:tc>
      </w:tr>
      <w:tr w:rsidR="00861E31" w:rsidRPr="00861E31" w14:paraId="120C2CB8" w14:textId="77777777" w:rsidTr="00861E31">
        <w:trPr>
          <w:trHeight w:val="283"/>
        </w:trPr>
        <w:tc>
          <w:tcPr>
            <w:tcW w:w="1183"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14C4453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Production and supply of electricity, thermal power, gas and water</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89EF63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128824.3</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558632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0.2</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AE10B2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114673.0</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67619F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-0.4</w:t>
            </w:r>
          </w:p>
        </w:tc>
        <w:tc>
          <w:tcPr>
            <w:tcW w:w="584"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BCF963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8721.2</w:t>
            </w:r>
          </w:p>
        </w:tc>
        <w:tc>
          <w:tcPr>
            <w:tcW w:w="510" w:type="pct"/>
            <w:tcBorders>
              <w:top w:val="nil"/>
              <w:left w:val="single" w:sz="6" w:space="0" w:color="000000"/>
              <w:bottom w:val="nil"/>
              <w:right w:val="nil"/>
            </w:tcBorders>
            <w:tcMar>
              <w:top w:w="0" w:type="dxa"/>
              <w:left w:w="0" w:type="dxa"/>
              <w:bottom w:w="0" w:type="dxa"/>
              <w:right w:w="85" w:type="dxa"/>
            </w:tcMar>
            <w:vAlign w:val="center"/>
            <w:hideMark/>
          </w:tcPr>
          <w:p w14:paraId="05C2824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9.4</w:t>
            </w:r>
          </w:p>
        </w:tc>
      </w:tr>
      <w:tr w:rsidR="00861E31" w:rsidRPr="00861E31" w14:paraId="331B8210" w14:textId="77777777" w:rsidTr="00861E31">
        <w:trPr>
          <w:trHeight w:val="283"/>
        </w:trPr>
        <w:tc>
          <w:tcPr>
            <w:tcW w:w="1183"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81C434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Of which: State-holding enterprises</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F4E73C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373813.1</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BC89E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0.3</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F0389C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316424.1</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5C9AB3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0.7</w:t>
            </w:r>
          </w:p>
        </w:tc>
        <w:tc>
          <w:tcPr>
            <w:tcW w:w="584"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4B9B2F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20561.0</w:t>
            </w:r>
          </w:p>
        </w:tc>
        <w:tc>
          <w:tcPr>
            <w:tcW w:w="510" w:type="pct"/>
            <w:tcBorders>
              <w:top w:val="nil"/>
              <w:left w:val="single" w:sz="6" w:space="0" w:color="000000"/>
              <w:bottom w:val="nil"/>
              <w:right w:val="nil"/>
            </w:tcBorders>
            <w:tcMar>
              <w:top w:w="0" w:type="dxa"/>
              <w:left w:w="0" w:type="dxa"/>
              <w:bottom w:w="0" w:type="dxa"/>
              <w:right w:w="85" w:type="dxa"/>
            </w:tcMar>
            <w:vAlign w:val="center"/>
            <w:hideMark/>
          </w:tcPr>
          <w:p w14:paraId="7312CBA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-3.9</w:t>
            </w:r>
          </w:p>
        </w:tc>
      </w:tr>
      <w:tr w:rsidR="00861E31" w:rsidRPr="00861E31" w14:paraId="42B4587B" w14:textId="77777777" w:rsidTr="00861E31">
        <w:trPr>
          <w:trHeight w:val="283"/>
        </w:trPr>
        <w:tc>
          <w:tcPr>
            <w:tcW w:w="1183"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415962E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Of which: Shareholding enterprises</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D32F4A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1125437.7</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6E09D3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1FCD63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963819.4</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BB310D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2.0</w:t>
            </w:r>
          </w:p>
        </w:tc>
        <w:tc>
          <w:tcPr>
            <w:tcW w:w="584"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9AC50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55408.3</w:t>
            </w:r>
          </w:p>
        </w:tc>
        <w:tc>
          <w:tcPr>
            <w:tcW w:w="510" w:type="pct"/>
            <w:tcBorders>
              <w:top w:val="nil"/>
              <w:left w:val="single" w:sz="6" w:space="0" w:color="000000"/>
              <w:bottom w:val="nil"/>
              <w:right w:val="nil"/>
            </w:tcBorders>
            <w:tcMar>
              <w:top w:w="0" w:type="dxa"/>
              <w:left w:w="0" w:type="dxa"/>
              <w:bottom w:w="0" w:type="dxa"/>
              <w:right w:w="85" w:type="dxa"/>
            </w:tcMar>
            <w:vAlign w:val="center"/>
            <w:hideMark/>
          </w:tcPr>
          <w:p w14:paraId="5F866A9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-0.1</w:t>
            </w:r>
          </w:p>
        </w:tc>
      </w:tr>
      <w:tr w:rsidR="00861E31" w:rsidRPr="00861E31" w14:paraId="3ADC7EB6" w14:textId="77777777" w:rsidTr="00861E31">
        <w:trPr>
          <w:trHeight w:val="283"/>
        </w:trPr>
        <w:tc>
          <w:tcPr>
            <w:tcW w:w="1183"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1BB34BE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Enterprises funded by foreign investors and </w:t>
            </w:r>
            <w:r w:rsidRPr="00861E31">
              <w:rPr>
                <w:rFonts w:ascii="Calibri" w:hAnsi="Calibri" w:cs="Calibri"/>
                <w:sz w:val="22"/>
                <w:szCs w:val="22"/>
              </w:rPr>
              <w:lastRenderedPageBreak/>
              <w:t>investors from Hong Kong, Macao and Taiwan</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87412B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lastRenderedPageBreak/>
              <w:t>257737.6</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7FE037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-0.6</w:t>
            </w:r>
          </w:p>
        </w:tc>
        <w:tc>
          <w:tcPr>
            <w:tcW w:w="73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6D7CD0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216844.2</w:t>
            </w:r>
          </w:p>
        </w:tc>
        <w:tc>
          <w:tcPr>
            <w:tcW w:w="630"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E1C62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w:t>
            </w:r>
          </w:p>
        </w:tc>
        <w:tc>
          <w:tcPr>
            <w:tcW w:w="584"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37CD2D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17447.4</w:t>
            </w:r>
          </w:p>
        </w:tc>
        <w:tc>
          <w:tcPr>
            <w:tcW w:w="510" w:type="pct"/>
            <w:tcBorders>
              <w:top w:val="nil"/>
              <w:left w:val="single" w:sz="6" w:space="0" w:color="000000"/>
              <w:bottom w:val="nil"/>
              <w:right w:val="nil"/>
            </w:tcBorders>
            <w:tcMar>
              <w:top w:w="0" w:type="dxa"/>
              <w:left w:w="0" w:type="dxa"/>
              <w:bottom w:w="0" w:type="dxa"/>
              <w:right w:w="85" w:type="dxa"/>
            </w:tcMar>
            <w:vAlign w:val="center"/>
            <w:hideMark/>
          </w:tcPr>
          <w:p w14:paraId="66B14CC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4.2</w:t>
            </w:r>
          </w:p>
        </w:tc>
      </w:tr>
      <w:tr w:rsidR="00861E31" w:rsidRPr="00861E31" w14:paraId="27676954" w14:textId="77777777" w:rsidTr="00861E31">
        <w:trPr>
          <w:trHeight w:val="283"/>
        </w:trPr>
        <w:tc>
          <w:tcPr>
            <w:tcW w:w="1183" w:type="pct"/>
            <w:tcBorders>
              <w:top w:val="nil"/>
              <w:left w:val="nil"/>
              <w:bottom w:val="single" w:sz="12" w:space="0" w:color="000000"/>
              <w:right w:val="single" w:sz="6" w:space="0" w:color="000000"/>
            </w:tcBorders>
            <w:shd w:val="clear" w:color="auto" w:fill="E6E6E6"/>
            <w:tcMar>
              <w:top w:w="0" w:type="dxa"/>
              <w:left w:w="0" w:type="dxa"/>
              <w:bottom w:w="0" w:type="dxa"/>
              <w:right w:w="62" w:type="dxa"/>
            </w:tcMar>
            <w:vAlign w:val="center"/>
            <w:hideMark/>
          </w:tcPr>
          <w:p w14:paraId="37F5D9F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Of which: Private enterprises</w:t>
            </w:r>
          </w:p>
        </w:tc>
        <w:tc>
          <w:tcPr>
            <w:tcW w:w="731"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6DB7CE5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505366.7</w:t>
            </w:r>
          </w:p>
        </w:tc>
        <w:tc>
          <w:tcPr>
            <w:tcW w:w="630"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3F74CCB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-0.2</w:t>
            </w:r>
          </w:p>
        </w:tc>
        <w:tc>
          <w:tcPr>
            <w:tcW w:w="731"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7EDF010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433030.6</w:t>
            </w:r>
          </w:p>
        </w:tc>
        <w:tc>
          <w:tcPr>
            <w:tcW w:w="630"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4C36E38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-0.1</w:t>
            </w:r>
          </w:p>
        </w:tc>
        <w:tc>
          <w:tcPr>
            <w:tcW w:w="584"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70C45DA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22810.6</w:t>
            </w:r>
          </w:p>
        </w:tc>
        <w:tc>
          <w:tcPr>
            <w:tcW w:w="510" w:type="pct"/>
            <w:tcBorders>
              <w:top w:val="nil"/>
              <w:left w:val="single" w:sz="6" w:space="0" w:color="000000"/>
              <w:bottom w:val="single" w:sz="12" w:space="0" w:color="000000"/>
              <w:right w:val="nil"/>
            </w:tcBorders>
            <w:tcMar>
              <w:top w:w="0" w:type="dxa"/>
              <w:left w:w="0" w:type="dxa"/>
              <w:bottom w:w="0" w:type="dxa"/>
              <w:right w:w="85" w:type="dxa"/>
            </w:tcMar>
            <w:vAlign w:val="center"/>
            <w:hideMark/>
          </w:tcPr>
          <w:p w14:paraId="384AC4A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0.0</w:t>
            </w:r>
          </w:p>
        </w:tc>
      </w:tr>
      <w:tr w:rsidR="00861E31" w:rsidRPr="00861E31" w14:paraId="1534B089" w14:textId="77777777" w:rsidTr="00861E31">
        <w:trPr>
          <w:trHeight w:val="283"/>
        </w:trPr>
        <w:tc>
          <w:tcPr>
            <w:tcW w:w="5000" w:type="pct"/>
            <w:gridSpan w:val="7"/>
            <w:tcBorders>
              <w:top w:val="single" w:sz="12" w:space="0" w:color="000000"/>
              <w:left w:val="nil"/>
              <w:bottom w:val="nil"/>
              <w:right w:val="nil"/>
            </w:tcBorders>
            <w:tcMar>
              <w:top w:w="0" w:type="dxa"/>
              <w:left w:w="0" w:type="dxa"/>
              <w:bottom w:w="0" w:type="dxa"/>
              <w:right w:w="85" w:type="dxa"/>
            </w:tcMar>
            <w:vAlign w:val="center"/>
            <w:hideMark/>
          </w:tcPr>
          <w:p w14:paraId="45407E8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Notes:</w:t>
            </w:r>
          </w:p>
          <w:p w14:paraId="5641DD2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 Due to the overlap of ownership types, the sum of sub-items is greater than the total.</w:t>
            </w:r>
          </w:p>
          <w:p w14:paraId="37CED7A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 Due to rounding and without mechanical adjustments, the sub-items may not add up to the total.</w:t>
            </w:r>
          </w:p>
        </w:tc>
      </w:tr>
    </w:tbl>
    <w:p w14:paraId="2165437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44D957C9"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Economic Performance Indicators of Industrial Enterprises above the Designated Size from January to December in 2025</w:t>
      </w:r>
    </w:p>
    <w:p w14:paraId="61099F0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tbl>
      <w:tblPr>
        <w:tblW w:w="5000" w:type="pct"/>
        <w:tblCellMar>
          <w:left w:w="0" w:type="dxa"/>
          <w:right w:w="0" w:type="dxa"/>
        </w:tblCellMar>
        <w:tblLook w:val="04A0" w:firstRow="1" w:lastRow="0" w:firstColumn="1" w:lastColumn="0" w:noHBand="0" w:noVBand="1"/>
      </w:tblPr>
      <w:tblGrid>
        <w:gridCol w:w="2100"/>
        <w:gridCol w:w="969"/>
        <w:gridCol w:w="967"/>
        <w:gridCol w:w="1122"/>
        <w:gridCol w:w="1124"/>
        <w:gridCol w:w="967"/>
        <w:gridCol w:w="967"/>
        <w:gridCol w:w="1126"/>
        <w:gridCol w:w="1124"/>
      </w:tblGrid>
      <w:tr w:rsidR="00861E31" w:rsidRPr="00861E31" w14:paraId="206D91FD" w14:textId="77777777" w:rsidTr="00861E31">
        <w:trPr>
          <w:trHeight w:val="20"/>
        </w:trPr>
        <w:tc>
          <w:tcPr>
            <w:tcW w:w="1003" w:type="pct"/>
            <w:vMerge w:val="restart"/>
            <w:tcBorders>
              <w:top w:val="single" w:sz="12" w:space="0" w:color="000000"/>
              <w:left w:val="nil"/>
              <w:bottom w:val="single" w:sz="6" w:space="0" w:color="000000"/>
              <w:right w:val="single" w:sz="6" w:space="0" w:color="000000"/>
            </w:tcBorders>
            <w:shd w:val="clear" w:color="auto" w:fill="E6E6E6"/>
            <w:vAlign w:val="center"/>
            <w:hideMark/>
          </w:tcPr>
          <w:p w14:paraId="49267D53"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Indicators</w:t>
            </w:r>
          </w:p>
        </w:tc>
        <w:tc>
          <w:tcPr>
            <w:tcW w:w="463"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64A2B251"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Profit Rate of Business Revenue</w:t>
            </w:r>
          </w:p>
        </w:tc>
        <w:tc>
          <w:tcPr>
            <w:tcW w:w="462"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509FAD1C"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Costs for per-hundred-yuan Business Revenue</w:t>
            </w:r>
          </w:p>
        </w:tc>
        <w:tc>
          <w:tcPr>
            <w:tcW w:w="536"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18C0E34A"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Expenses for per-hundred-yuan Business Revenue</w:t>
            </w:r>
          </w:p>
        </w:tc>
        <w:tc>
          <w:tcPr>
            <w:tcW w:w="537"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3ADC58BD"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Business Revenue Brought by per-hundred-yuan Assets</w:t>
            </w:r>
          </w:p>
        </w:tc>
        <w:tc>
          <w:tcPr>
            <w:tcW w:w="462"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32450FBF"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Per Capita Business Revenue</w:t>
            </w:r>
          </w:p>
        </w:tc>
        <w:tc>
          <w:tcPr>
            <w:tcW w:w="462"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1E79D7FF"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Asset-Liability Ratio</w:t>
            </w:r>
          </w:p>
        </w:tc>
        <w:tc>
          <w:tcPr>
            <w:tcW w:w="538" w:type="pct"/>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436021A9"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Turnover Days of Finished Goods</w:t>
            </w:r>
          </w:p>
        </w:tc>
        <w:tc>
          <w:tcPr>
            <w:tcW w:w="537" w:type="pct"/>
            <w:tcBorders>
              <w:top w:val="single" w:sz="12" w:space="0" w:color="000000"/>
              <w:left w:val="single" w:sz="6" w:space="0" w:color="000000"/>
              <w:bottom w:val="single" w:sz="6" w:space="0" w:color="000000"/>
              <w:right w:val="nil"/>
            </w:tcBorders>
            <w:shd w:val="clear" w:color="auto" w:fill="E6E6E6"/>
            <w:vAlign w:val="center"/>
            <w:hideMark/>
          </w:tcPr>
          <w:p w14:paraId="59F829EF"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Average Collection Period of Accounts Receivable</w:t>
            </w:r>
          </w:p>
        </w:tc>
      </w:tr>
      <w:tr w:rsidR="00861E31" w:rsidRPr="00861E31" w14:paraId="75F12F0B" w14:textId="77777777" w:rsidTr="00861E31">
        <w:trPr>
          <w:trHeight w:val="1680"/>
        </w:trPr>
        <w:tc>
          <w:tcPr>
            <w:tcW w:w="1003" w:type="pct"/>
            <w:vMerge/>
            <w:tcBorders>
              <w:top w:val="single" w:sz="12" w:space="0" w:color="000000"/>
              <w:left w:val="nil"/>
              <w:bottom w:val="single" w:sz="6" w:space="0" w:color="000000"/>
              <w:right w:val="single" w:sz="6" w:space="0" w:color="000000"/>
            </w:tcBorders>
            <w:vAlign w:val="center"/>
            <w:hideMark/>
          </w:tcPr>
          <w:p w14:paraId="26865A6C" w14:textId="77777777" w:rsidR="00861E31" w:rsidRPr="00861E31" w:rsidRDefault="00861E31" w:rsidP="00861E31">
            <w:pPr>
              <w:rPr>
                <w:rFonts w:ascii="Calibri" w:hAnsi="Calibri" w:cs="Calibri"/>
                <w:sz w:val="22"/>
                <w:szCs w:val="22"/>
              </w:rPr>
            </w:pPr>
          </w:p>
        </w:tc>
        <w:tc>
          <w:tcPr>
            <w:tcW w:w="463"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0B47ADF7"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Jan-Dec</w:t>
            </w:r>
          </w:p>
          <w:p w14:paraId="57E99034"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c>
          <w:tcPr>
            <w:tcW w:w="462"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364E12ED"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Jan-Dec</w:t>
            </w:r>
          </w:p>
          <w:p w14:paraId="6C38E77C"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(yuan)</w:t>
            </w:r>
          </w:p>
        </w:tc>
        <w:tc>
          <w:tcPr>
            <w:tcW w:w="536"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5E1574A2"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Jan-Dec</w:t>
            </w:r>
          </w:p>
          <w:p w14:paraId="78285CF7"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(yuan)</w:t>
            </w:r>
          </w:p>
        </w:tc>
        <w:tc>
          <w:tcPr>
            <w:tcW w:w="537"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3F836212"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By the end of December</w:t>
            </w:r>
          </w:p>
          <w:p w14:paraId="2E562D93"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(yuan)</w:t>
            </w:r>
          </w:p>
        </w:tc>
        <w:tc>
          <w:tcPr>
            <w:tcW w:w="462"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3B1F1C7F"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By the end of December</w:t>
            </w:r>
          </w:p>
          <w:p w14:paraId="3395018A"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(10 thousand yuan/ person)</w:t>
            </w:r>
          </w:p>
        </w:tc>
        <w:tc>
          <w:tcPr>
            <w:tcW w:w="462"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7668D6F5"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By the end of December</w:t>
            </w:r>
          </w:p>
          <w:p w14:paraId="2F0B6E50"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c>
          <w:tcPr>
            <w:tcW w:w="538"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6493CFE6"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By the end of December</w:t>
            </w:r>
          </w:p>
          <w:p w14:paraId="159B866B"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(days)</w:t>
            </w:r>
          </w:p>
        </w:tc>
        <w:tc>
          <w:tcPr>
            <w:tcW w:w="537" w:type="pct"/>
            <w:tcBorders>
              <w:top w:val="single" w:sz="6" w:space="0" w:color="000000"/>
              <w:left w:val="single" w:sz="6" w:space="0" w:color="000000"/>
              <w:bottom w:val="single" w:sz="6" w:space="0" w:color="000000"/>
              <w:right w:val="nil"/>
            </w:tcBorders>
            <w:shd w:val="clear" w:color="auto" w:fill="E6E6E6"/>
            <w:vAlign w:val="center"/>
            <w:hideMark/>
          </w:tcPr>
          <w:p w14:paraId="0A8084E0"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By the end of December</w:t>
            </w:r>
          </w:p>
          <w:p w14:paraId="7F763C38"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(days)</w:t>
            </w:r>
          </w:p>
        </w:tc>
      </w:tr>
      <w:tr w:rsidR="00861E31" w:rsidRPr="00861E31" w14:paraId="40FAD669" w14:textId="77777777" w:rsidTr="00861E31">
        <w:trPr>
          <w:trHeight w:val="20"/>
        </w:trPr>
        <w:tc>
          <w:tcPr>
            <w:tcW w:w="1003" w:type="pct"/>
            <w:tcBorders>
              <w:top w:val="single" w:sz="6" w:space="0" w:color="000000"/>
              <w:left w:val="nil"/>
              <w:bottom w:val="nil"/>
              <w:right w:val="single" w:sz="6" w:space="0" w:color="000000"/>
            </w:tcBorders>
            <w:shd w:val="clear" w:color="auto" w:fill="E6E6E6"/>
            <w:vAlign w:val="center"/>
            <w:hideMark/>
          </w:tcPr>
          <w:p w14:paraId="40A6BF3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Total</w:t>
            </w:r>
          </w:p>
        </w:tc>
        <w:tc>
          <w:tcPr>
            <w:tcW w:w="463"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5801A0E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5.31</w:t>
            </w:r>
          </w:p>
        </w:tc>
        <w:tc>
          <w:tcPr>
            <w:tcW w:w="462"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5187940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85.31</w:t>
            </w:r>
          </w:p>
        </w:tc>
        <w:tc>
          <w:tcPr>
            <w:tcW w:w="536"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59472BB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8.62</w:t>
            </w:r>
          </w:p>
        </w:tc>
        <w:tc>
          <w:tcPr>
            <w:tcW w:w="537"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1A64A40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75.9</w:t>
            </w:r>
          </w:p>
        </w:tc>
        <w:tc>
          <w:tcPr>
            <w:tcW w:w="462"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21F69D1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188.9</w:t>
            </w:r>
          </w:p>
        </w:tc>
        <w:tc>
          <w:tcPr>
            <w:tcW w:w="462"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0CF5DD7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57.6</w:t>
            </w:r>
          </w:p>
        </w:tc>
        <w:tc>
          <w:tcPr>
            <w:tcW w:w="538"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4F3EE59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19.9</w:t>
            </w:r>
          </w:p>
        </w:tc>
        <w:tc>
          <w:tcPr>
            <w:tcW w:w="537" w:type="pct"/>
            <w:tcBorders>
              <w:top w:val="single" w:sz="6" w:space="0" w:color="000000"/>
              <w:left w:val="single" w:sz="6" w:space="0" w:color="000000"/>
              <w:bottom w:val="nil"/>
              <w:right w:val="nil"/>
            </w:tcBorders>
            <w:tcMar>
              <w:top w:w="0" w:type="dxa"/>
              <w:left w:w="0" w:type="dxa"/>
              <w:bottom w:w="0" w:type="dxa"/>
              <w:right w:w="85" w:type="dxa"/>
            </w:tcMar>
            <w:vAlign w:val="center"/>
            <w:hideMark/>
          </w:tcPr>
          <w:p w14:paraId="3AFAC24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67.9</w:t>
            </w:r>
          </w:p>
        </w:tc>
      </w:tr>
      <w:tr w:rsidR="00861E31" w:rsidRPr="00861E31" w14:paraId="3F104380" w14:textId="77777777" w:rsidTr="00861E31">
        <w:trPr>
          <w:trHeight w:val="20"/>
        </w:trPr>
        <w:tc>
          <w:tcPr>
            <w:tcW w:w="1003" w:type="pct"/>
            <w:tcBorders>
              <w:top w:val="nil"/>
              <w:left w:val="nil"/>
              <w:bottom w:val="nil"/>
              <w:right w:val="single" w:sz="6" w:space="0" w:color="000000"/>
            </w:tcBorders>
            <w:shd w:val="clear" w:color="auto" w:fill="E6E6E6"/>
            <w:vAlign w:val="center"/>
            <w:hideMark/>
          </w:tcPr>
          <w:p w14:paraId="720046B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Of which: Mining</w:t>
            </w:r>
          </w:p>
        </w:tc>
        <w:tc>
          <w:tcPr>
            <w:tcW w:w="463"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FA5F31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15.91</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C6C532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69.46</w:t>
            </w:r>
          </w:p>
        </w:tc>
        <w:tc>
          <w:tcPr>
            <w:tcW w:w="536"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2BF2B8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10.79</w:t>
            </w:r>
          </w:p>
        </w:tc>
        <w:tc>
          <w:tcPr>
            <w:tcW w:w="537"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AF4C50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36.5</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B36D31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134.1</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14BF7E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57.8</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A71889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15.4</w:t>
            </w:r>
          </w:p>
        </w:tc>
        <w:tc>
          <w:tcPr>
            <w:tcW w:w="537" w:type="pct"/>
            <w:tcBorders>
              <w:top w:val="nil"/>
              <w:left w:val="single" w:sz="6" w:space="0" w:color="000000"/>
              <w:bottom w:val="nil"/>
              <w:right w:val="nil"/>
            </w:tcBorders>
            <w:tcMar>
              <w:top w:w="0" w:type="dxa"/>
              <w:left w:w="0" w:type="dxa"/>
              <w:bottom w:w="0" w:type="dxa"/>
              <w:right w:w="85" w:type="dxa"/>
            </w:tcMar>
            <w:vAlign w:val="center"/>
            <w:hideMark/>
          </w:tcPr>
          <w:p w14:paraId="409213D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55.8</w:t>
            </w:r>
          </w:p>
        </w:tc>
      </w:tr>
      <w:tr w:rsidR="00861E31" w:rsidRPr="00861E31" w14:paraId="0DC6CCF3" w14:textId="77777777" w:rsidTr="00861E31">
        <w:trPr>
          <w:trHeight w:val="20"/>
        </w:trPr>
        <w:tc>
          <w:tcPr>
            <w:tcW w:w="1003" w:type="pct"/>
            <w:tcBorders>
              <w:top w:val="nil"/>
              <w:left w:val="nil"/>
              <w:bottom w:val="nil"/>
              <w:right w:val="single" w:sz="6" w:space="0" w:color="000000"/>
            </w:tcBorders>
            <w:shd w:val="clear" w:color="auto" w:fill="E6E6E6"/>
            <w:vAlign w:val="center"/>
            <w:hideMark/>
          </w:tcPr>
          <w:p w14:paraId="6DFA4CE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Manufacturing</w:t>
            </w:r>
          </w:p>
        </w:tc>
        <w:tc>
          <w:tcPr>
            <w:tcW w:w="463"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6653E1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4.70</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50BE21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85.60</w:t>
            </w:r>
          </w:p>
        </w:tc>
        <w:tc>
          <w:tcPr>
            <w:tcW w:w="536"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3ECFE6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8.86</w:t>
            </w:r>
          </w:p>
        </w:tc>
        <w:tc>
          <w:tcPr>
            <w:tcW w:w="537"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5E930F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89.0</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E07D19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182.3</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CFF61B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57.0</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C55AD7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22.1</w:t>
            </w:r>
          </w:p>
        </w:tc>
        <w:tc>
          <w:tcPr>
            <w:tcW w:w="537" w:type="pct"/>
            <w:tcBorders>
              <w:top w:val="nil"/>
              <w:left w:val="single" w:sz="6" w:space="0" w:color="000000"/>
              <w:bottom w:val="nil"/>
              <w:right w:val="nil"/>
            </w:tcBorders>
            <w:tcMar>
              <w:top w:w="0" w:type="dxa"/>
              <w:left w:w="0" w:type="dxa"/>
              <w:bottom w:w="0" w:type="dxa"/>
              <w:right w:w="85" w:type="dxa"/>
            </w:tcMar>
            <w:vAlign w:val="center"/>
            <w:hideMark/>
          </w:tcPr>
          <w:p w14:paraId="1DEC500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69.2</w:t>
            </w:r>
          </w:p>
        </w:tc>
      </w:tr>
      <w:tr w:rsidR="00861E31" w:rsidRPr="00861E31" w14:paraId="09621AA4" w14:textId="77777777" w:rsidTr="00861E31">
        <w:trPr>
          <w:trHeight w:val="20"/>
        </w:trPr>
        <w:tc>
          <w:tcPr>
            <w:tcW w:w="1003" w:type="pct"/>
            <w:tcBorders>
              <w:top w:val="nil"/>
              <w:left w:val="nil"/>
              <w:bottom w:val="nil"/>
              <w:right w:val="single" w:sz="6" w:space="0" w:color="000000"/>
            </w:tcBorders>
            <w:shd w:val="clear" w:color="auto" w:fill="E6E6E6"/>
            <w:vAlign w:val="center"/>
            <w:hideMark/>
          </w:tcPr>
          <w:p w14:paraId="1EB146C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Production and supply of electricity, thermal power, gas and water</w:t>
            </w:r>
          </w:p>
        </w:tc>
        <w:tc>
          <w:tcPr>
            <w:tcW w:w="463"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1F59C4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6.77</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6795B6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89.02</w:t>
            </w:r>
          </w:p>
        </w:tc>
        <w:tc>
          <w:tcPr>
            <w:tcW w:w="536"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8B3A7A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5.44</w:t>
            </w:r>
          </w:p>
        </w:tc>
        <w:tc>
          <w:tcPr>
            <w:tcW w:w="537"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337E7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39.1</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587A26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382.7</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F6E16F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60.2</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D7401D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w:t>
            </w:r>
          </w:p>
        </w:tc>
        <w:tc>
          <w:tcPr>
            <w:tcW w:w="537" w:type="pct"/>
            <w:tcBorders>
              <w:top w:val="nil"/>
              <w:left w:val="single" w:sz="6" w:space="0" w:color="000000"/>
              <w:bottom w:val="nil"/>
              <w:right w:val="nil"/>
            </w:tcBorders>
            <w:tcMar>
              <w:top w:w="0" w:type="dxa"/>
              <w:left w:w="0" w:type="dxa"/>
              <w:bottom w:w="0" w:type="dxa"/>
              <w:right w:w="85" w:type="dxa"/>
            </w:tcMar>
            <w:vAlign w:val="center"/>
            <w:hideMark/>
          </w:tcPr>
          <w:p w14:paraId="46781FA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60.2</w:t>
            </w:r>
          </w:p>
        </w:tc>
      </w:tr>
      <w:tr w:rsidR="00861E31" w:rsidRPr="00861E31" w14:paraId="06273473" w14:textId="77777777" w:rsidTr="00861E31">
        <w:trPr>
          <w:trHeight w:val="20"/>
        </w:trPr>
        <w:tc>
          <w:tcPr>
            <w:tcW w:w="1003" w:type="pct"/>
            <w:tcBorders>
              <w:top w:val="nil"/>
              <w:left w:val="nil"/>
              <w:bottom w:val="nil"/>
              <w:right w:val="single" w:sz="6" w:space="0" w:color="000000"/>
            </w:tcBorders>
            <w:shd w:val="clear" w:color="auto" w:fill="E6E6E6"/>
            <w:vAlign w:val="center"/>
            <w:hideMark/>
          </w:tcPr>
          <w:p w14:paraId="13A4AD1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Of which: State-holding enterprises</w:t>
            </w:r>
          </w:p>
        </w:tc>
        <w:tc>
          <w:tcPr>
            <w:tcW w:w="463"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90347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5.50</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A39005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84.65</w:t>
            </w:r>
          </w:p>
        </w:tc>
        <w:tc>
          <w:tcPr>
            <w:tcW w:w="536"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7CFA86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6.48</w:t>
            </w:r>
          </w:p>
        </w:tc>
        <w:tc>
          <w:tcPr>
            <w:tcW w:w="537"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47D6A1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55.7</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A5BBDF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315.6</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C9261E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57.3</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6C299D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11.8</w:t>
            </w:r>
          </w:p>
        </w:tc>
        <w:tc>
          <w:tcPr>
            <w:tcW w:w="537" w:type="pct"/>
            <w:tcBorders>
              <w:top w:val="nil"/>
              <w:left w:val="single" w:sz="6" w:space="0" w:color="000000"/>
              <w:bottom w:val="nil"/>
              <w:right w:val="nil"/>
            </w:tcBorders>
            <w:tcMar>
              <w:top w:w="0" w:type="dxa"/>
              <w:left w:w="0" w:type="dxa"/>
              <w:bottom w:w="0" w:type="dxa"/>
              <w:right w:w="85" w:type="dxa"/>
            </w:tcMar>
            <w:vAlign w:val="center"/>
            <w:hideMark/>
          </w:tcPr>
          <w:p w14:paraId="1295569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52.2</w:t>
            </w:r>
          </w:p>
        </w:tc>
      </w:tr>
      <w:tr w:rsidR="00861E31" w:rsidRPr="00861E31" w14:paraId="3501FA08" w14:textId="77777777" w:rsidTr="00861E31">
        <w:trPr>
          <w:trHeight w:val="20"/>
        </w:trPr>
        <w:tc>
          <w:tcPr>
            <w:tcW w:w="1003" w:type="pct"/>
            <w:tcBorders>
              <w:top w:val="nil"/>
              <w:left w:val="nil"/>
              <w:bottom w:val="nil"/>
              <w:right w:val="single" w:sz="6" w:space="0" w:color="000000"/>
            </w:tcBorders>
            <w:shd w:val="clear" w:color="auto" w:fill="E6E6E6"/>
            <w:vAlign w:val="center"/>
            <w:hideMark/>
          </w:tcPr>
          <w:p w14:paraId="2913DA9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Of which: Shareholding enterprises</w:t>
            </w:r>
          </w:p>
        </w:tc>
        <w:tc>
          <w:tcPr>
            <w:tcW w:w="463"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9B5E99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4.92</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2CFF13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85.64</w:t>
            </w:r>
          </w:p>
        </w:tc>
        <w:tc>
          <w:tcPr>
            <w:tcW w:w="536"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E64D7D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8.46</w:t>
            </w:r>
          </w:p>
        </w:tc>
        <w:tc>
          <w:tcPr>
            <w:tcW w:w="537"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DB83FC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74.5</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0744AE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187.7</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86A58E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58.7</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2E29A9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20.0</w:t>
            </w:r>
          </w:p>
        </w:tc>
        <w:tc>
          <w:tcPr>
            <w:tcW w:w="537" w:type="pct"/>
            <w:tcBorders>
              <w:top w:val="nil"/>
              <w:left w:val="single" w:sz="6" w:space="0" w:color="000000"/>
              <w:bottom w:val="nil"/>
              <w:right w:val="nil"/>
            </w:tcBorders>
            <w:tcMar>
              <w:top w:w="0" w:type="dxa"/>
              <w:left w:w="0" w:type="dxa"/>
              <w:bottom w:w="0" w:type="dxa"/>
              <w:right w:w="85" w:type="dxa"/>
            </w:tcMar>
            <w:vAlign w:val="center"/>
            <w:hideMark/>
          </w:tcPr>
          <w:p w14:paraId="6A50B37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65.6</w:t>
            </w:r>
          </w:p>
        </w:tc>
      </w:tr>
      <w:tr w:rsidR="00861E31" w:rsidRPr="00861E31" w14:paraId="15C666CB" w14:textId="77777777" w:rsidTr="00861E31">
        <w:trPr>
          <w:trHeight w:val="20"/>
        </w:trPr>
        <w:tc>
          <w:tcPr>
            <w:tcW w:w="1003" w:type="pct"/>
            <w:tcBorders>
              <w:top w:val="nil"/>
              <w:left w:val="nil"/>
              <w:bottom w:val="nil"/>
              <w:right w:val="single" w:sz="6" w:space="0" w:color="000000"/>
            </w:tcBorders>
            <w:shd w:val="clear" w:color="auto" w:fill="E6E6E6"/>
            <w:vAlign w:val="center"/>
            <w:hideMark/>
          </w:tcPr>
          <w:p w14:paraId="27E1CCE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Enterprises funded by foreign investors and investors from Hong Kong, Macao and Taiwan</w:t>
            </w:r>
          </w:p>
        </w:tc>
        <w:tc>
          <w:tcPr>
            <w:tcW w:w="463"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C7EF5D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6.77</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DAA01D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84.13</w:t>
            </w:r>
          </w:p>
        </w:tc>
        <w:tc>
          <w:tcPr>
            <w:tcW w:w="536"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E163D1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9.36</w:t>
            </w:r>
          </w:p>
        </w:tc>
        <w:tc>
          <w:tcPr>
            <w:tcW w:w="537"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631C7D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82.3</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ECB3C1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197.0</w:t>
            </w:r>
          </w:p>
        </w:tc>
        <w:tc>
          <w:tcPr>
            <w:tcW w:w="462"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5CD542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52.2</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121A06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19.2</w:t>
            </w:r>
          </w:p>
        </w:tc>
        <w:tc>
          <w:tcPr>
            <w:tcW w:w="537" w:type="pct"/>
            <w:tcBorders>
              <w:top w:val="nil"/>
              <w:left w:val="single" w:sz="6" w:space="0" w:color="000000"/>
              <w:bottom w:val="nil"/>
              <w:right w:val="nil"/>
            </w:tcBorders>
            <w:tcMar>
              <w:top w:w="0" w:type="dxa"/>
              <w:left w:w="0" w:type="dxa"/>
              <w:bottom w:w="0" w:type="dxa"/>
              <w:right w:w="85" w:type="dxa"/>
            </w:tcMar>
            <w:vAlign w:val="center"/>
            <w:hideMark/>
          </w:tcPr>
          <w:p w14:paraId="02125EA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78.3</w:t>
            </w:r>
          </w:p>
        </w:tc>
      </w:tr>
      <w:tr w:rsidR="00861E31" w:rsidRPr="00861E31" w14:paraId="130ACBE2" w14:textId="77777777" w:rsidTr="00861E31">
        <w:trPr>
          <w:trHeight w:val="20"/>
        </w:trPr>
        <w:tc>
          <w:tcPr>
            <w:tcW w:w="1003" w:type="pct"/>
            <w:tcBorders>
              <w:top w:val="nil"/>
              <w:left w:val="nil"/>
              <w:bottom w:val="single" w:sz="12" w:space="0" w:color="000000"/>
              <w:right w:val="single" w:sz="6" w:space="0" w:color="000000"/>
            </w:tcBorders>
            <w:shd w:val="clear" w:color="auto" w:fill="E6E6E6"/>
            <w:vAlign w:val="center"/>
            <w:hideMark/>
          </w:tcPr>
          <w:p w14:paraId="7762403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lastRenderedPageBreak/>
              <w:t>Of which: Private enterprises</w:t>
            </w:r>
          </w:p>
        </w:tc>
        <w:tc>
          <w:tcPr>
            <w:tcW w:w="463"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0F464D9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4.51</w:t>
            </w:r>
          </w:p>
        </w:tc>
        <w:tc>
          <w:tcPr>
            <w:tcW w:w="462"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171B86B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85.69</w:t>
            </w:r>
          </w:p>
        </w:tc>
        <w:tc>
          <w:tcPr>
            <w:tcW w:w="536"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160C647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9.82</w:t>
            </w:r>
          </w:p>
        </w:tc>
        <w:tc>
          <w:tcPr>
            <w:tcW w:w="537"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7477DDD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96.4</w:t>
            </w:r>
          </w:p>
        </w:tc>
        <w:tc>
          <w:tcPr>
            <w:tcW w:w="462"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3587219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141.7</w:t>
            </w:r>
          </w:p>
        </w:tc>
        <w:tc>
          <w:tcPr>
            <w:tcW w:w="462"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1C2010E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58.9</w:t>
            </w:r>
          </w:p>
        </w:tc>
        <w:tc>
          <w:tcPr>
            <w:tcW w:w="538"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1534EAC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24.9</w:t>
            </w:r>
          </w:p>
        </w:tc>
        <w:tc>
          <w:tcPr>
            <w:tcW w:w="537" w:type="pct"/>
            <w:tcBorders>
              <w:top w:val="nil"/>
              <w:left w:val="single" w:sz="6" w:space="0" w:color="000000"/>
              <w:bottom w:val="single" w:sz="12" w:space="0" w:color="000000"/>
              <w:right w:val="nil"/>
            </w:tcBorders>
            <w:tcMar>
              <w:top w:w="0" w:type="dxa"/>
              <w:left w:w="0" w:type="dxa"/>
              <w:bottom w:w="0" w:type="dxa"/>
              <w:right w:w="85" w:type="dxa"/>
            </w:tcMar>
            <w:vAlign w:val="center"/>
            <w:hideMark/>
          </w:tcPr>
          <w:p w14:paraId="2A1F6FA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70.6</w:t>
            </w:r>
          </w:p>
        </w:tc>
      </w:tr>
    </w:tbl>
    <w:p w14:paraId="203C66C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483EE928"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Key Financial Indicators of Industrial Enterprises above the Designated Size from January to December in 2025 (Group by Industry)</w:t>
      </w:r>
    </w:p>
    <w:p w14:paraId="308384B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tbl>
      <w:tblPr>
        <w:tblW w:w="5000" w:type="pct"/>
        <w:tblCellMar>
          <w:left w:w="0" w:type="dxa"/>
          <w:right w:w="0" w:type="dxa"/>
        </w:tblCellMar>
        <w:tblLook w:val="04A0" w:firstRow="1" w:lastRow="0" w:firstColumn="1" w:lastColumn="0" w:noHBand="0" w:noVBand="1"/>
      </w:tblPr>
      <w:tblGrid>
        <w:gridCol w:w="2857"/>
        <w:gridCol w:w="1413"/>
        <w:gridCol w:w="1126"/>
        <w:gridCol w:w="1363"/>
        <w:gridCol w:w="1174"/>
        <w:gridCol w:w="1363"/>
        <w:gridCol w:w="1170"/>
      </w:tblGrid>
      <w:tr w:rsidR="00861E31" w:rsidRPr="00861E31" w14:paraId="63E066C8" w14:textId="77777777" w:rsidTr="00861E31">
        <w:trPr>
          <w:trHeight w:val="645"/>
        </w:trPr>
        <w:tc>
          <w:tcPr>
            <w:tcW w:w="1365" w:type="pct"/>
            <w:vMerge w:val="restart"/>
            <w:tcBorders>
              <w:top w:val="single" w:sz="12" w:space="0" w:color="000000"/>
              <w:left w:val="nil"/>
              <w:bottom w:val="single" w:sz="6" w:space="0" w:color="000000"/>
              <w:right w:val="single" w:sz="6" w:space="0" w:color="000000"/>
            </w:tcBorders>
            <w:shd w:val="clear" w:color="auto" w:fill="E6E6E6"/>
            <w:tcMar>
              <w:top w:w="0" w:type="dxa"/>
              <w:left w:w="0" w:type="dxa"/>
              <w:bottom w:w="0" w:type="dxa"/>
              <w:right w:w="62" w:type="dxa"/>
            </w:tcMar>
            <w:vAlign w:val="center"/>
            <w:hideMark/>
          </w:tcPr>
          <w:p w14:paraId="40872A83"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Indicators</w:t>
            </w:r>
          </w:p>
        </w:tc>
        <w:tc>
          <w:tcPr>
            <w:tcW w:w="1213" w:type="pct"/>
            <w:gridSpan w:val="2"/>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1C76A8C0"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Business Revenue</w:t>
            </w:r>
          </w:p>
        </w:tc>
        <w:tc>
          <w:tcPr>
            <w:tcW w:w="1212" w:type="pct"/>
            <w:gridSpan w:val="2"/>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0F349A54"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Operating Costs</w:t>
            </w:r>
          </w:p>
        </w:tc>
        <w:tc>
          <w:tcPr>
            <w:tcW w:w="1210" w:type="pct"/>
            <w:gridSpan w:val="2"/>
            <w:tcBorders>
              <w:top w:val="single" w:sz="12" w:space="0" w:color="000000"/>
              <w:left w:val="single" w:sz="6" w:space="0" w:color="000000"/>
              <w:bottom w:val="single" w:sz="6" w:space="0" w:color="000000"/>
              <w:right w:val="nil"/>
            </w:tcBorders>
            <w:shd w:val="clear" w:color="auto" w:fill="E6E6E6"/>
            <w:vAlign w:val="center"/>
            <w:hideMark/>
          </w:tcPr>
          <w:p w14:paraId="7011546A"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Total Profits</w:t>
            </w:r>
          </w:p>
        </w:tc>
      </w:tr>
      <w:tr w:rsidR="00861E31" w:rsidRPr="00861E31" w14:paraId="1B27A83E" w14:textId="77777777" w:rsidTr="00861E31">
        <w:trPr>
          <w:trHeight w:val="793"/>
        </w:trPr>
        <w:tc>
          <w:tcPr>
            <w:tcW w:w="1365" w:type="pct"/>
            <w:vMerge/>
            <w:tcBorders>
              <w:top w:val="single" w:sz="12" w:space="0" w:color="000000"/>
              <w:left w:val="nil"/>
              <w:bottom w:val="single" w:sz="6" w:space="0" w:color="000000"/>
              <w:right w:val="single" w:sz="6" w:space="0" w:color="000000"/>
            </w:tcBorders>
            <w:vAlign w:val="center"/>
            <w:hideMark/>
          </w:tcPr>
          <w:p w14:paraId="32D405A9" w14:textId="77777777" w:rsidR="00861E31" w:rsidRPr="00861E31" w:rsidRDefault="00861E31" w:rsidP="00861E31">
            <w:pPr>
              <w:rPr>
                <w:rFonts w:ascii="Calibri" w:hAnsi="Calibri" w:cs="Calibri"/>
                <w:sz w:val="22"/>
                <w:szCs w:val="22"/>
              </w:rPr>
            </w:pPr>
          </w:p>
        </w:tc>
        <w:tc>
          <w:tcPr>
            <w:tcW w:w="675"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0AE9F9AB"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Volume</w:t>
            </w:r>
          </w:p>
          <w:p w14:paraId="4D1BBD5B"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(100 million yuan)</w:t>
            </w:r>
          </w:p>
        </w:tc>
        <w:tc>
          <w:tcPr>
            <w:tcW w:w="538"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3C3C3AA7"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Growth Rate Y/Y</w:t>
            </w:r>
          </w:p>
          <w:p w14:paraId="6DA2F667"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c>
          <w:tcPr>
            <w:tcW w:w="651"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1FD3B02D"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Volume</w:t>
            </w:r>
          </w:p>
          <w:p w14:paraId="171A7169"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(100 million yuan)</w:t>
            </w:r>
          </w:p>
        </w:tc>
        <w:tc>
          <w:tcPr>
            <w:tcW w:w="561"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6C7D926C"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Growth Rate Y/Y</w:t>
            </w:r>
          </w:p>
          <w:p w14:paraId="28672BCD"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c>
          <w:tcPr>
            <w:tcW w:w="651" w:type="pct"/>
            <w:tcBorders>
              <w:top w:val="single" w:sz="6" w:space="0" w:color="000000"/>
              <w:left w:val="single" w:sz="6" w:space="0" w:color="000000"/>
              <w:bottom w:val="single" w:sz="6" w:space="0" w:color="000000"/>
              <w:right w:val="single" w:sz="6" w:space="0" w:color="000000"/>
            </w:tcBorders>
            <w:shd w:val="clear" w:color="auto" w:fill="E6E6E6"/>
            <w:vAlign w:val="center"/>
            <w:hideMark/>
          </w:tcPr>
          <w:p w14:paraId="190826F9"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Volume</w:t>
            </w:r>
          </w:p>
          <w:p w14:paraId="68CBED94"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(100 million yuan)</w:t>
            </w:r>
          </w:p>
        </w:tc>
        <w:tc>
          <w:tcPr>
            <w:tcW w:w="559" w:type="pct"/>
            <w:tcBorders>
              <w:top w:val="single" w:sz="6" w:space="0" w:color="000000"/>
              <w:left w:val="single" w:sz="6" w:space="0" w:color="000000"/>
              <w:bottom w:val="single" w:sz="6" w:space="0" w:color="000000"/>
              <w:right w:val="nil"/>
            </w:tcBorders>
            <w:shd w:val="clear" w:color="auto" w:fill="E6E6E6"/>
            <w:vAlign w:val="center"/>
            <w:hideMark/>
          </w:tcPr>
          <w:p w14:paraId="72663FC6"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Growth Rate Y/Y</w:t>
            </w:r>
          </w:p>
          <w:p w14:paraId="57A9762E" w14:textId="77777777" w:rsidR="00861E31" w:rsidRPr="00861E31" w:rsidRDefault="00861E31" w:rsidP="00861E31">
            <w:pPr>
              <w:rPr>
                <w:rFonts w:ascii="Calibri" w:hAnsi="Calibri" w:cs="Calibri"/>
                <w:sz w:val="22"/>
                <w:szCs w:val="22"/>
              </w:rPr>
            </w:pPr>
            <w:r w:rsidRPr="00861E31">
              <w:rPr>
                <w:rFonts w:ascii="Calibri" w:hAnsi="Calibri" w:cs="Calibri"/>
                <w:b/>
                <w:bCs/>
                <w:sz w:val="22"/>
                <w:szCs w:val="22"/>
              </w:rPr>
              <w:t>(%)</w:t>
            </w:r>
          </w:p>
        </w:tc>
      </w:tr>
      <w:tr w:rsidR="00861E31" w:rsidRPr="00861E31" w14:paraId="49FE4981" w14:textId="77777777" w:rsidTr="00861E31">
        <w:trPr>
          <w:trHeight w:val="283"/>
        </w:trPr>
        <w:tc>
          <w:tcPr>
            <w:tcW w:w="1365" w:type="pct"/>
            <w:tcBorders>
              <w:top w:val="single" w:sz="6" w:space="0" w:color="000000"/>
              <w:left w:val="nil"/>
              <w:bottom w:val="nil"/>
              <w:right w:val="single" w:sz="6" w:space="0" w:color="000000"/>
            </w:tcBorders>
            <w:shd w:val="clear" w:color="auto" w:fill="E6E6E6"/>
            <w:tcMar>
              <w:top w:w="0" w:type="dxa"/>
              <w:left w:w="0" w:type="dxa"/>
              <w:bottom w:w="0" w:type="dxa"/>
              <w:right w:w="62" w:type="dxa"/>
            </w:tcMar>
            <w:vAlign w:val="center"/>
            <w:hideMark/>
          </w:tcPr>
          <w:p w14:paraId="5B6E0AB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Total</w:t>
            </w:r>
          </w:p>
        </w:tc>
        <w:tc>
          <w:tcPr>
            <w:tcW w:w="675"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279E178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1391980.6</w:t>
            </w:r>
          </w:p>
        </w:tc>
        <w:tc>
          <w:tcPr>
            <w:tcW w:w="538"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76F951F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w:t>
            </w:r>
          </w:p>
        </w:tc>
        <w:tc>
          <w:tcPr>
            <w:tcW w:w="651"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55CB166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1187524.1</w:t>
            </w:r>
          </w:p>
        </w:tc>
        <w:tc>
          <w:tcPr>
            <w:tcW w:w="561"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6B26350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w:t>
            </w:r>
          </w:p>
        </w:tc>
        <w:tc>
          <w:tcPr>
            <w:tcW w:w="651" w:type="pct"/>
            <w:tcBorders>
              <w:top w:val="single" w:sz="6" w:space="0" w:color="000000"/>
              <w:left w:val="single" w:sz="6" w:space="0" w:color="000000"/>
              <w:bottom w:val="nil"/>
              <w:right w:val="single" w:sz="6" w:space="0" w:color="000000"/>
            </w:tcBorders>
            <w:tcMar>
              <w:top w:w="0" w:type="dxa"/>
              <w:left w:w="0" w:type="dxa"/>
              <w:bottom w:w="0" w:type="dxa"/>
              <w:right w:w="62" w:type="dxa"/>
            </w:tcMar>
            <w:vAlign w:val="center"/>
            <w:hideMark/>
          </w:tcPr>
          <w:p w14:paraId="33CCD9F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73982.0</w:t>
            </w:r>
          </w:p>
        </w:tc>
        <w:tc>
          <w:tcPr>
            <w:tcW w:w="559" w:type="pct"/>
            <w:tcBorders>
              <w:top w:val="single" w:sz="6" w:space="0" w:color="000000"/>
              <w:left w:val="single" w:sz="6" w:space="0" w:color="000000"/>
              <w:bottom w:val="nil"/>
              <w:right w:val="nil"/>
            </w:tcBorders>
            <w:tcMar>
              <w:top w:w="0" w:type="dxa"/>
              <w:left w:w="0" w:type="dxa"/>
              <w:bottom w:w="0" w:type="dxa"/>
              <w:right w:w="85" w:type="dxa"/>
            </w:tcMar>
            <w:vAlign w:val="center"/>
            <w:hideMark/>
          </w:tcPr>
          <w:p w14:paraId="54D3520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0.6</w:t>
            </w:r>
          </w:p>
        </w:tc>
      </w:tr>
      <w:tr w:rsidR="00861E31" w:rsidRPr="00861E31" w14:paraId="61DFE9B6"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B56C2D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Mining and washing of coal</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A7D77F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26088.6</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A6F171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-17.8</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2D6A71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18734.0</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FD4613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1A14DB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3520.0</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5430740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-41.8</w:t>
            </w:r>
          </w:p>
        </w:tc>
      </w:tr>
      <w:tr w:rsidR="00861E31" w:rsidRPr="00861E31" w14:paraId="008E9C35"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6615DBA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Extraction of petroleum and natural gas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F98B57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11480.1</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077671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FBB69D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6767.0</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3D7968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0B6687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2764.9</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10D2C2F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-18.7</w:t>
            </w:r>
          </w:p>
        </w:tc>
      </w:tr>
      <w:tr w:rsidR="00861E31" w:rsidRPr="00861E31" w14:paraId="71CC3271"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A0B573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Mining of ferrous metal ores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01EFC5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4572.9</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FC406C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-7.0</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E45B4D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3661.6</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337C28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-6.0</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D2E527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458.1</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151F6E0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-16.0</w:t>
            </w:r>
          </w:p>
        </w:tc>
      </w:tr>
      <w:tr w:rsidR="00861E31" w:rsidRPr="00861E31" w14:paraId="750E90D5"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41B8129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Mining of non-ferrous metal ores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DADCFF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4247.4</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00F4D6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618739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2397.9</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317D45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4397E3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1248.7</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5CAD07B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36.1</w:t>
            </w:r>
          </w:p>
        </w:tc>
      </w:tr>
      <w:tr w:rsidR="00861E31" w:rsidRPr="00861E31" w14:paraId="1D8A7C8E"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4AD73DE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Mining and processing of non-metal ores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E6EB0F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3476.8</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786E83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D87579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2471.6</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C379B2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C4952C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346.8</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03F9B46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-8.0</w:t>
            </w:r>
          </w:p>
        </w:tc>
      </w:tr>
      <w:tr w:rsidR="00861E31" w:rsidRPr="00861E31" w14:paraId="6FC5A114"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64D922B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Mining and support activities for mining</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91572C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2590.8</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6E08A1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1E79E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2404.4</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F36B1A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04A831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3593523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-73.5</w:t>
            </w:r>
          </w:p>
        </w:tc>
      </w:tr>
      <w:tr w:rsidR="00861E31" w:rsidRPr="00861E31" w14:paraId="5FF738AE"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0BC176B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Mining of other ores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7F3836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4.0</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403C54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-48.7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FB31E1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3.3</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5970DB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-50.7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EF6BEE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4B06D3C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-25.0</w:t>
            </w:r>
          </w:p>
        </w:tc>
      </w:tr>
      <w:tr w:rsidR="00861E31" w:rsidRPr="00861E31" w14:paraId="5852E878"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2A465EA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Processing of food from agricultural and sideline products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8AAE92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53175.9</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FBFD3A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0.8</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D28E23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49101.8</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47AA1A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F988FD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1355.4</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6AD3BEF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3.2</w:t>
            </w:r>
          </w:p>
        </w:tc>
      </w:tr>
      <w:tr w:rsidR="00861E31" w:rsidRPr="00861E31" w14:paraId="07ED5C36"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FAD277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foods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0D02BA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21915.6</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D28096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3FC81F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17220.3</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911BAC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0.3</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836BE3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1687.0</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772CACC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-4.6</w:t>
            </w:r>
          </w:p>
        </w:tc>
      </w:tr>
      <w:tr w:rsidR="00861E31" w:rsidRPr="00861E31" w14:paraId="5032E925"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7F7384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liquor, beverages and refined tea</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237635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14689.3</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1EA24F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-4.4</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E99125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9540.2</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160673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A63C4B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2812.9</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707EEC0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-9.1</w:t>
            </w:r>
          </w:p>
        </w:tc>
      </w:tr>
      <w:tr w:rsidR="00861E31" w:rsidRPr="00861E31" w14:paraId="16DD3877"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4C27074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tobacco</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04F430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14127.9</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BCA3BC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2.8</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86426E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4160.8</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53504B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E02E56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1683.8</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5027831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4.5</w:t>
            </w:r>
          </w:p>
        </w:tc>
      </w:tr>
      <w:tr w:rsidR="00861E31" w:rsidRPr="00861E31" w14:paraId="05FF5CCD"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FCBF3A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Textile industry</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E4F90B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22322.6</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D6F425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-6.4</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0504A6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19748.1</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3446DD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-6.5</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33607E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738.3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2AD9F10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-12.0</w:t>
            </w:r>
          </w:p>
        </w:tc>
      </w:tr>
      <w:tr w:rsidR="00861E31" w:rsidRPr="00861E31" w14:paraId="3B8E90BB"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097E91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textile wearing apparel and accessories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ED6995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11119.9</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9C53AA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E6709C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9398.9</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1EF089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A292E8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450.6</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38EB725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-27.3</w:t>
            </w:r>
          </w:p>
        </w:tc>
      </w:tr>
      <w:tr w:rsidR="00861E31" w:rsidRPr="00861E31" w14:paraId="34EFBE83"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67532BF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w:t>
            </w:r>
            <w:r w:rsidRPr="00861E31">
              <w:rPr>
                <w:rFonts w:ascii="Calibri" w:hAnsi="Calibri" w:cs="Calibri"/>
                <w:sz w:val="22"/>
                <w:szCs w:val="22"/>
              </w:rPr>
              <w:t> </w:t>
            </w:r>
            <w:r w:rsidRPr="00861E31">
              <w:rPr>
                <w:rFonts w:ascii="Calibri" w:hAnsi="Calibri" w:cs="Calibri"/>
                <w:sz w:val="22"/>
                <w:szCs w:val="22"/>
              </w:rPr>
              <w:t>leather, fur, feather and related products</w:t>
            </w:r>
            <w:r w:rsidRPr="00861E31">
              <w:rPr>
                <w:rFonts w:ascii="Calibri" w:hAnsi="Calibri" w:cs="Calibri"/>
                <w:sz w:val="22"/>
                <w:szCs w:val="22"/>
              </w:rPr>
              <w:t> </w:t>
            </w:r>
            <w:r w:rsidRPr="00861E31">
              <w:rPr>
                <w:rFonts w:ascii="Calibri" w:hAnsi="Calibri" w:cs="Calibri"/>
                <w:sz w:val="22"/>
                <w:szCs w:val="22"/>
              </w:rPr>
              <w:t>and</w:t>
            </w:r>
            <w:r w:rsidRPr="00861E31">
              <w:rPr>
                <w:rFonts w:ascii="Calibri" w:hAnsi="Calibri" w:cs="Calibri"/>
                <w:sz w:val="22"/>
                <w:szCs w:val="22"/>
              </w:rPr>
              <w:t> </w:t>
            </w:r>
            <w:r w:rsidRPr="00861E31">
              <w:rPr>
                <w:rFonts w:ascii="Calibri" w:hAnsi="Calibri" w:cs="Calibri"/>
                <w:sz w:val="22"/>
                <w:szCs w:val="22"/>
              </w:rPr>
              <w:t>footwear</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CC9F73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7310.8</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B1D24E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81DE04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6287.2</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D31D15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-13.3</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B38F6B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365.2</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635E550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-17.9</w:t>
            </w:r>
          </w:p>
        </w:tc>
      </w:tr>
      <w:tr w:rsidR="00861E31" w:rsidRPr="00861E31" w14:paraId="250E9970"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6C6C757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Processing of timber, manufacture of wood, </w:t>
            </w:r>
            <w:r w:rsidRPr="00861E31">
              <w:rPr>
                <w:rFonts w:ascii="Calibri" w:hAnsi="Calibri" w:cs="Calibri"/>
                <w:sz w:val="22"/>
                <w:szCs w:val="22"/>
              </w:rPr>
              <w:lastRenderedPageBreak/>
              <w:t>bamboo, rattan, palm, and straw products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7E23F5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lastRenderedPageBreak/>
              <w:t>7683.3</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DA433E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F67520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6946.1</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9C3743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A4F5F4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215.1</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720781E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-38.3</w:t>
            </w:r>
          </w:p>
        </w:tc>
      </w:tr>
      <w:tr w:rsidR="00861E31" w:rsidRPr="00861E31" w14:paraId="6FC6BAAC"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C212B8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furniture</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F901C6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6125.1</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69EA25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EC7A8C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5042.9</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CA359D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1BBB00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328.1</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085CEB9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-12.1</w:t>
            </w:r>
          </w:p>
        </w:tc>
      </w:tr>
      <w:tr w:rsidR="00861E31" w:rsidRPr="00861E31" w14:paraId="65B2CBAD"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5F448E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paper and paper products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79CA4E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14186.7</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F6ED82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A665C6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12463.7</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3F3C34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-2.8</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996FE7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443.0</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60ACF15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-13.6</w:t>
            </w:r>
          </w:p>
        </w:tc>
      </w:tr>
      <w:tr w:rsidR="00861E31" w:rsidRPr="00861E31" w14:paraId="6A6CBEB1"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173C937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Printing and reproduction of recording media</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9F26AD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6376.4</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3F88FF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-4.8</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1B6FD5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5290.1</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4220F4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-4.8</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9B10FB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312.4</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48B532D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-6.6</w:t>
            </w:r>
          </w:p>
        </w:tc>
      </w:tr>
      <w:tr w:rsidR="00861E31" w:rsidRPr="00861E31" w14:paraId="6BADE433"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68DC82E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w:t>
            </w:r>
            <w:r w:rsidRPr="00861E31">
              <w:rPr>
                <w:rFonts w:ascii="Calibri" w:hAnsi="Calibri" w:cs="Calibri"/>
                <w:sz w:val="22"/>
                <w:szCs w:val="22"/>
              </w:rPr>
              <w:t> </w:t>
            </w:r>
            <w:r w:rsidRPr="00861E31">
              <w:rPr>
                <w:rFonts w:ascii="Calibri" w:hAnsi="Calibri" w:cs="Calibri"/>
                <w:sz w:val="22"/>
                <w:szCs w:val="22"/>
              </w:rPr>
              <w:t>articles for culture, education, arts and crafts, sport and entertainment activities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E97131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13813.6</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4C4292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46BA83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12165.7</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1221BA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48BBA4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519.6</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5F76CD4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-20.2</w:t>
            </w:r>
          </w:p>
        </w:tc>
      </w:tr>
      <w:tr w:rsidR="00861E31" w:rsidRPr="00861E31" w14:paraId="6198CC6D"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0918565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Processing of petroleum, coal and other fuels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5B50AF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53281.1</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D728AE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-10.0</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E46E22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45527.0</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05FF60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C6D181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-131.1</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00413B9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(Note 1)</w:t>
            </w:r>
          </w:p>
        </w:tc>
      </w:tr>
      <w:tr w:rsidR="00861E31" w:rsidRPr="00861E31" w14:paraId="1F8B01FF"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DE75BF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raw chemical materials and chemical products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FC12B2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90343.8</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0A1C8D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0.5</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9A1DCC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78246.4</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19EC85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0.3</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37928A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3766.2</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2A1916C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-7.3</w:t>
            </w:r>
          </w:p>
        </w:tc>
      </w:tr>
      <w:tr w:rsidR="00861E31" w:rsidRPr="00861E31" w14:paraId="4383DB93"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2D84E3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medicines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3E08E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24870.0</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9E9174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E2E0A6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14362.4</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752F48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47ACAE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3490.0</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05C7228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2.7</w:t>
            </w:r>
          </w:p>
        </w:tc>
      </w:tr>
      <w:tr w:rsidR="00861E31" w:rsidRPr="00861E31" w14:paraId="73086A06"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48B640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Manufacture of chemical </w:t>
            </w:r>
            <w:proofErr w:type="spellStart"/>
            <w:r w:rsidRPr="00861E31">
              <w:rPr>
                <w:rFonts w:ascii="Calibri" w:hAnsi="Calibri" w:cs="Calibri"/>
                <w:sz w:val="22"/>
                <w:szCs w:val="22"/>
              </w:rPr>
              <w:t>fibers</w:t>
            </w:r>
            <w:proofErr w:type="spellEnd"/>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289414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10408.9</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69A076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-7.3</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E19CBC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9518.9</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EAAC22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-7.8</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7E7CCA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315.3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72A3051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-4.5</w:t>
            </w:r>
          </w:p>
        </w:tc>
      </w:tr>
      <w:tr w:rsidR="00861E31" w:rsidRPr="00861E31" w14:paraId="7C9817E6"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24D85A7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rubber and plastic products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B12A16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30200.8</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4C6CC0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98DF9B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25419.1</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6B0CA4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-1.5</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74CCA8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1600.5</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48017FF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-5.9</w:t>
            </w:r>
          </w:p>
        </w:tc>
      </w:tr>
      <w:tr w:rsidR="00861E31" w:rsidRPr="00861E31" w14:paraId="19A181C5"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1D9D09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non-metallic mineral products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C23D20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46243.4</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53E022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6E6872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39239.6</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4DC11A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99EF54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1751.8</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0233D5E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w:t>
            </w:r>
          </w:p>
        </w:tc>
      </w:tr>
      <w:tr w:rsidR="00861E31" w:rsidRPr="00861E31" w14:paraId="11BE0A93"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63FC124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Smelting and pressing of ferrous metals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856D32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77268.3</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5EEC44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3EC941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72899.0</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5FAD87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34FA62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1098.3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41A5D3E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299.2</w:t>
            </w:r>
          </w:p>
        </w:tc>
      </w:tr>
      <w:tr w:rsidR="00861E31" w:rsidRPr="00861E31" w14:paraId="30A0CBBB"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42A866D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Smelting and pressing of non-ferrous metals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17E443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97733.9</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40B99F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14.0</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C1F7EF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91263.5</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F568D8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14.5</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680CFC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4035.9</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66B1088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22.6</w:t>
            </w:r>
          </w:p>
        </w:tc>
      </w:tr>
      <w:tr w:rsidR="00861E31" w:rsidRPr="00861E31" w14:paraId="332DA32F"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23B4909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metal products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11C9C0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46599.7</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19B370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A99CF2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40884.4</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9AC979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D40F4F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1736.2</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50038C6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-7.5</w:t>
            </w:r>
          </w:p>
        </w:tc>
      </w:tr>
      <w:tr w:rsidR="00861E31" w:rsidRPr="00861E31" w14:paraId="139B1112"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8DA072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general-purpose machinery</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F51758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51487.9</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315A5F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4.0</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08CAEE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41614.3</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01D9F6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B798FC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3594.7</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018CDA3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4.2</w:t>
            </w:r>
          </w:p>
        </w:tc>
      </w:tr>
      <w:tr w:rsidR="00861E31" w:rsidRPr="00861E31" w14:paraId="7019F284"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EEAAAC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special-purpose machinery</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BA614A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39280.6</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D724A8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4A2791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30530.1</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80CED0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2ED244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3008.2</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4E961E6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w:t>
            </w:r>
          </w:p>
        </w:tc>
      </w:tr>
      <w:tr w:rsidR="00861E31" w:rsidRPr="00861E31" w14:paraId="1B5E7214"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2E79B7A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automobiles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E8650C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111795.6</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1D5284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977D52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98497.9</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53A434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8.1</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734583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4610.2</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1E28B96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0.6</w:t>
            </w:r>
          </w:p>
        </w:tc>
      </w:tr>
      <w:tr w:rsidR="00861E31" w:rsidRPr="00861E31" w14:paraId="07B4882A"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114B16D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railway, ship, aerospace and other transport equipment</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8B760E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17500.1</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E0DB6B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13.3</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F267B4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14432.0</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254C1B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12.3</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899533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1431.3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2D1B345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31.2</w:t>
            </w:r>
          </w:p>
        </w:tc>
      </w:tr>
      <w:tr w:rsidR="00861E31" w:rsidRPr="00861E31" w14:paraId="605A2322"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33D8657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electrical machinery and apparatus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FB92E2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117387.4</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E2CFA5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6.4</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E8CC9D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100703.8</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A2784E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922AFA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6390.4</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12B90DF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4.9</w:t>
            </w:r>
          </w:p>
        </w:tc>
      </w:tr>
      <w:tr w:rsidR="00861E31" w:rsidRPr="00861E31" w14:paraId="7BFABD3E"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D02BE1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xml:space="preserve">Manufacture of computers, communication equipment </w:t>
            </w:r>
            <w:r w:rsidRPr="00861E31">
              <w:rPr>
                <w:rFonts w:ascii="Calibri" w:hAnsi="Calibri" w:cs="Calibri"/>
                <w:sz w:val="22"/>
                <w:szCs w:val="22"/>
              </w:rPr>
              <w:lastRenderedPageBreak/>
              <w:t>and other electronic equipment</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D438A6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lastRenderedPageBreak/>
              <w:t>174051.6</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320F8E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7.4</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2FA1A1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150973.8</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FC7286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6.9</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666385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7508.5</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2A8CF0B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19.5</w:t>
            </w:r>
          </w:p>
        </w:tc>
      </w:tr>
      <w:tr w:rsidR="00861E31" w:rsidRPr="00861E31" w14:paraId="1336445D"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5D3AF8E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Manufacture of measuring instruments and machinery</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A6B4F5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11329.4</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1CEC65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49CEC3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8362.5</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31F2C0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DE838B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1160.3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30D5C01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3.1</w:t>
            </w:r>
          </w:p>
        </w:tc>
      </w:tr>
      <w:tr w:rsidR="00861E31" w:rsidRPr="00861E31" w14:paraId="7187990F"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23E964C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Other manufacturing</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BCADFB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2159.1</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0F5FBCD"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7C9AC6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1774.2</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EE7EFD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2.0</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2E7FD3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123.0</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08E9199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w:t>
            </w:r>
          </w:p>
        </w:tc>
      </w:tr>
      <w:tr w:rsidR="00861E31" w:rsidRPr="00861E31" w14:paraId="61438B28"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A07C12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Utilization of waste resources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68A7E0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13085.4</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5A12235E"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5.7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4E3AFE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12409.8</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DE01A3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6.0</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959AB83"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292.7</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50156EAC"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25.1</w:t>
            </w:r>
          </w:p>
        </w:tc>
      </w:tr>
      <w:tr w:rsidR="00861E31" w:rsidRPr="00861E31" w14:paraId="422B96BF"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773E731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Repair service of metal products, machinery and equipment</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31D2395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2821.7</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8EE550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15.6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A40137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2386.5</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73822C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16.4</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F9B4F5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221.6</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743F79A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10.8</w:t>
            </w:r>
          </w:p>
        </w:tc>
      </w:tr>
      <w:tr w:rsidR="00861E31" w:rsidRPr="00861E31" w14:paraId="2D511DB4"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1D43008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Production and supply of electricity and thermal power</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E77ADB5"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101564.3</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04FC5DB"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0.2</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4F6638E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90267.9</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1FA0CCC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-0.6</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6DDD61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7453.7</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376B601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13.9</w:t>
            </w:r>
          </w:p>
        </w:tc>
      </w:tr>
      <w:tr w:rsidR="00861E31" w:rsidRPr="00861E31" w14:paraId="2EA8CC51" w14:textId="77777777" w:rsidTr="00861E31">
        <w:trPr>
          <w:trHeight w:val="283"/>
        </w:trPr>
        <w:tc>
          <w:tcPr>
            <w:tcW w:w="1365" w:type="pct"/>
            <w:tcBorders>
              <w:top w:val="nil"/>
              <w:left w:val="nil"/>
              <w:bottom w:val="nil"/>
              <w:right w:val="single" w:sz="6" w:space="0" w:color="000000"/>
            </w:tcBorders>
            <w:shd w:val="clear" w:color="auto" w:fill="E6E6E6"/>
            <w:tcMar>
              <w:top w:w="0" w:type="dxa"/>
              <w:left w:w="0" w:type="dxa"/>
              <w:bottom w:w="0" w:type="dxa"/>
              <w:right w:w="62" w:type="dxa"/>
            </w:tcMar>
            <w:vAlign w:val="center"/>
            <w:hideMark/>
          </w:tcPr>
          <w:p w14:paraId="1BED5EB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Production and supply of gas</w:t>
            </w:r>
          </w:p>
        </w:tc>
        <w:tc>
          <w:tcPr>
            <w:tcW w:w="675"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C56F0D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22316.3</w:t>
            </w:r>
          </w:p>
        </w:tc>
        <w:tc>
          <w:tcPr>
            <w:tcW w:w="538"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2E622C9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0.5</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0755779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20786.8</w:t>
            </w:r>
          </w:p>
        </w:tc>
        <w:tc>
          <w:tcPr>
            <w:tcW w:w="56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74D9DAC8"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0.7</w:t>
            </w:r>
          </w:p>
        </w:tc>
        <w:tc>
          <w:tcPr>
            <w:tcW w:w="651" w:type="pct"/>
            <w:tcBorders>
              <w:top w:val="nil"/>
              <w:left w:val="single" w:sz="6" w:space="0" w:color="000000"/>
              <w:bottom w:val="nil"/>
              <w:right w:val="single" w:sz="6" w:space="0" w:color="000000"/>
            </w:tcBorders>
            <w:tcMar>
              <w:top w:w="0" w:type="dxa"/>
              <w:left w:w="0" w:type="dxa"/>
              <w:bottom w:w="0" w:type="dxa"/>
              <w:right w:w="62" w:type="dxa"/>
            </w:tcMar>
            <w:vAlign w:val="center"/>
            <w:hideMark/>
          </w:tcPr>
          <w:p w14:paraId="64AB1F5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820.3</w:t>
            </w:r>
          </w:p>
        </w:tc>
        <w:tc>
          <w:tcPr>
            <w:tcW w:w="559" w:type="pct"/>
            <w:tcBorders>
              <w:top w:val="nil"/>
              <w:left w:val="single" w:sz="6" w:space="0" w:color="000000"/>
              <w:bottom w:val="nil"/>
              <w:right w:val="nil"/>
            </w:tcBorders>
            <w:tcMar>
              <w:top w:w="0" w:type="dxa"/>
              <w:left w:w="0" w:type="dxa"/>
              <w:bottom w:w="0" w:type="dxa"/>
              <w:right w:w="85" w:type="dxa"/>
            </w:tcMar>
            <w:vAlign w:val="center"/>
            <w:hideMark/>
          </w:tcPr>
          <w:p w14:paraId="13DD5F96"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-13.2</w:t>
            </w:r>
          </w:p>
        </w:tc>
      </w:tr>
      <w:tr w:rsidR="00861E31" w:rsidRPr="00861E31" w14:paraId="6624B457" w14:textId="77777777" w:rsidTr="00861E31">
        <w:trPr>
          <w:trHeight w:val="283"/>
        </w:trPr>
        <w:tc>
          <w:tcPr>
            <w:tcW w:w="1365" w:type="pct"/>
            <w:tcBorders>
              <w:top w:val="nil"/>
              <w:left w:val="nil"/>
              <w:bottom w:val="single" w:sz="12" w:space="0" w:color="000000"/>
              <w:right w:val="single" w:sz="6" w:space="0" w:color="000000"/>
            </w:tcBorders>
            <w:shd w:val="clear" w:color="auto" w:fill="E6E6E6"/>
            <w:tcMar>
              <w:top w:w="0" w:type="dxa"/>
              <w:left w:w="0" w:type="dxa"/>
              <w:bottom w:w="0" w:type="dxa"/>
              <w:right w:w="62" w:type="dxa"/>
            </w:tcMar>
            <w:vAlign w:val="center"/>
            <w:hideMark/>
          </w:tcPr>
          <w:p w14:paraId="1CB31C9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Production and supply of water</w:t>
            </w:r>
          </w:p>
        </w:tc>
        <w:tc>
          <w:tcPr>
            <w:tcW w:w="675"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1E5B91B0"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4943.7</w:t>
            </w:r>
          </w:p>
        </w:tc>
        <w:tc>
          <w:tcPr>
            <w:tcW w:w="538"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39F0CA7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-0.1</w:t>
            </w:r>
          </w:p>
        </w:tc>
        <w:tc>
          <w:tcPr>
            <w:tcW w:w="651"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6593A2D9"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3618.2</w:t>
            </w:r>
          </w:p>
        </w:tc>
        <w:tc>
          <w:tcPr>
            <w:tcW w:w="561"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6BDB4F72"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-1.7</w:t>
            </w:r>
          </w:p>
        </w:tc>
        <w:tc>
          <w:tcPr>
            <w:tcW w:w="651" w:type="pct"/>
            <w:tcBorders>
              <w:top w:val="nil"/>
              <w:left w:val="single" w:sz="6" w:space="0" w:color="000000"/>
              <w:bottom w:val="single" w:sz="12" w:space="0" w:color="000000"/>
              <w:right w:val="single" w:sz="6" w:space="0" w:color="000000"/>
            </w:tcBorders>
            <w:tcMar>
              <w:top w:w="0" w:type="dxa"/>
              <w:left w:w="0" w:type="dxa"/>
              <w:bottom w:w="0" w:type="dxa"/>
              <w:right w:w="62" w:type="dxa"/>
            </w:tcMar>
            <w:vAlign w:val="center"/>
            <w:hideMark/>
          </w:tcPr>
          <w:p w14:paraId="5783C8D7"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447.2</w:t>
            </w:r>
          </w:p>
        </w:tc>
        <w:tc>
          <w:tcPr>
            <w:tcW w:w="559" w:type="pct"/>
            <w:tcBorders>
              <w:top w:val="nil"/>
              <w:left w:val="single" w:sz="6" w:space="0" w:color="000000"/>
              <w:bottom w:val="single" w:sz="12" w:space="0" w:color="000000"/>
              <w:right w:val="nil"/>
            </w:tcBorders>
            <w:tcMar>
              <w:top w:w="0" w:type="dxa"/>
              <w:left w:w="0" w:type="dxa"/>
              <w:bottom w:w="0" w:type="dxa"/>
              <w:right w:w="85" w:type="dxa"/>
            </w:tcMar>
            <w:vAlign w:val="center"/>
            <w:hideMark/>
          </w:tcPr>
          <w:p w14:paraId="75BCC6D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-7.7</w:t>
            </w:r>
          </w:p>
        </w:tc>
      </w:tr>
      <w:tr w:rsidR="00861E31" w:rsidRPr="00861E31" w14:paraId="756B665B" w14:textId="77777777" w:rsidTr="00861E31">
        <w:trPr>
          <w:trHeight w:val="283"/>
        </w:trPr>
        <w:tc>
          <w:tcPr>
            <w:tcW w:w="5000" w:type="pct"/>
            <w:gridSpan w:val="7"/>
            <w:tcBorders>
              <w:top w:val="single" w:sz="12" w:space="0" w:color="000000"/>
              <w:left w:val="nil"/>
              <w:bottom w:val="nil"/>
              <w:right w:val="nil"/>
            </w:tcBorders>
            <w:tcMar>
              <w:top w:w="0" w:type="dxa"/>
              <w:left w:w="0" w:type="dxa"/>
              <w:bottom w:w="0" w:type="dxa"/>
              <w:right w:w="85" w:type="dxa"/>
            </w:tcMar>
            <w:vAlign w:val="center"/>
            <w:hideMark/>
          </w:tcPr>
          <w:p w14:paraId="29275B3A"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Notes:</w:t>
            </w:r>
          </w:p>
          <w:p w14:paraId="65E38FF1"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1. As the processing of petroleum, coal and other fuels recorded losses in the same period last year, the year-on-year growth rate cannot be calculated.</w:t>
            </w:r>
          </w:p>
          <w:p w14:paraId="66160284"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2. Due to rounding and without mechanical adjustments, the sub-items may not add up to the total.</w:t>
            </w:r>
          </w:p>
        </w:tc>
      </w:tr>
    </w:tbl>
    <w:p w14:paraId="34429A2F" w14:textId="77777777" w:rsidR="00861E31" w:rsidRPr="00861E31" w:rsidRDefault="00861E31" w:rsidP="00861E31">
      <w:pPr>
        <w:rPr>
          <w:rFonts w:ascii="Calibri" w:hAnsi="Calibri" w:cs="Calibri"/>
          <w:sz w:val="22"/>
          <w:szCs w:val="22"/>
        </w:rPr>
      </w:pPr>
      <w:r w:rsidRPr="00861E31">
        <w:rPr>
          <w:rFonts w:ascii="Calibri" w:hAnsi="Calibri" w:cs="Calibri"/>
          <w:sz w:val="22"/>
          <w:szCs w:val="22"/>
        </w:rPr>
        <w:t> </w:t>
      </w:r>
    </w:p>
    <w:p w14:paraId="7A21D0EA" w14:textId="77777777" w:rsidR="00861E31" w:rsidRPr="00861E31" w:rsidRDefault="00861E31" w:rsidP="00861E31">
      <w:pPr>
        <w:rPr>
          <w:rFonts w:ascii="Calibri" w:hAnsi="Calibri" w:cs="Calibri"/>
          <w:sz w:val="22"/>
          <w:szCs w:val="22"/>
        </w:rPr>
      </w:pPr>
      <w:r w:rsidRPr="00861E31">
        <w:rPr>
          <w:rFonts w:ascii="Calibri" w:hAnsi="Calibri" w:cs="Calibri"/>
          <w:b/>
          <w:bCs/>
          <w:i/>
          <w:iCs/>
          <w:sz w:val="22"/>
          <w:szCs w:val="22"/>
        </w:rPr>
        <w:t>Annotations:</w:t>
      </w:r>
    </w:p>
    <w:p w14:paraId="7E58AB06"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2AA5F580"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I. Notes on Indicators:</w:t>
      </w:r>
    </w:p>
    <w:p w14:paraId="3BC7EDC4"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7FF94FDE"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 Total profits: refer to the surplus of total revenue after deducting total costs and expenses from the production and operation of enterprises, reflecting the overall profit and loss of enterprises during the reporting period.</w:t>
      </w:r>
    </w:p>
    <w:p w14:paraId="1A79E56C"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516317C1"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2. Business revenue: refers to the inflow of economic benefits from the production and operation of enterprises, such as selling goods, providing labor services and transferring the right to use assets. It includes the revenue from the main business and other business operations.</w:t>
      </w:r>
    </w:p>
    <w:p w14:paraId="619337CE"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67D0BADE"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3. Operating costs: refer to the actual costs from the production and operation of enterprises, such as selling goods, providing labor services and transferring the right to use assets. They include the costs incurred by the main business and other business operations. Operating costs should be matched with business revenue.</w:t>
      </w:r>
    </w:p>
    <w:p w14:paraId="4D9DB91B"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36D30E36"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4. Total assets: refer to the resources derived from past transactions or events, owned or controlled by an enterprise, and expected to bring economic benefits to the enterprise.</w:t>
      </w:r>
    </w:p>
    <w:p w14:paraId="59D4F972"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5A725D5C"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lastRenderedPageBreak/>
        <w:t xml:space="preserve">5. Total liabilities: refer to the current obligations generated from past transactions or events of an </w:t>
      </w:r>
      <w:proofErr w:type="gramStart"/>
      <w:r w:rsidRPr="00861E31">
        <w:rPr>
          <w:rFonts w:ascii="Calibri" w:hAnsi="Calibri" w:cs="Calibri"/>
          <w:i/>
          <w:iCs/>
          <w:sz w:val="22"/>
          <w:szCs w:val="22"/>
        </w:rPr>
        <w:t>enterprise, and</w:t>
      </w:r>
      <w:proofErr w:type="gramEnd"/>
      <w:r w:rsidRPr="00861E31">
        <w:rPr>
          <w:rFonts w:ascii="Calibri" w:hAnsi="Calibri" w:cs="Calibri"/>
          <w:i/>
          <w:iCs/>
          <w:sz w:val="22"/>
          <w:szCs w:val="22"/>
        </w:rPr>
        <w:t xml:space="preserve"> expected to result in an outflow of economic benefits from the enterprise.</w:t>
      </w:r>
    </w:p>
    <w:p w14:paraId="70746F2E"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3DDA32F8"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6. Total owners’ equity: refers to the residual equity in the assets of an enterprise after deducting liabilities, which belongs to the owners.</w:t>
      </w:r>
    </w:p>
    <w:p w14:paraId="76E22649"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5CE3C8B0"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7. Accounts receivable: refer to the amount that should be collected by an enterprise for its business activities, such as selling goods and providing services, measured at amortized cost on the balance sheet date.</w:t>
      </w:r>
    </w:p>
    <w:p w14:paraId="2996DFAE"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1C0FE497"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8. Inventory of finished goods: refers to products, with all production processes having been finished by enterprises, that are accepted and stored after inspection, can be delivered to ordering units according to terms in the contract, or can be taken as goods for external sale; as well as various goods purchased or processed by external parties, which have been accepted and stored for sale.</w:t>
      </w:r>
    </w:p>
    <w:p w14:paraId="28C1282F"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152F56D0"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9. Profit rate of business revenue = total profits / business revenue × 100%, unit: %.</w:t>
      </w:r>
    </w:p>
    <w:p w14:paraId="542224D4"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3CEBCCDB"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10. Costs for per-hundred-yuan business revenue = operating costs / business revenue ×100, unit: yuan.</w:t>
      </w:r>
    </w:p>
    <w:p w14:paraId="3D1EC05B"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5FC631E2"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11. Expenses for per-hundred-yuan business revenue = (selling expenses + administrative expenses + R&amp;D expenses + financial expenses) / business revenue ×100, unit: yuan.</w:t>
      </w:r>
    </w:p>
    <w:p w14:paraId="5174883D"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7E9B5D87"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12. Business revenue brought by per-hundred-yuan assets = business revenue / average assets / the cumulative number of months × 12 × 100, unit: yuan.</w:t>
      </w:r>
    </w:p>
    <w:p w14:paraId="29600E4A"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6510E54D"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13. Per capita business revenue = business revenue / the average number of employees / the cumulative number of months × 12, unit: 10 thousand yuan / person.</w:t>
      </w:r>
    </w:p>
    <w:p w14:paraId="5439B28F"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4483EDE4"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14. Asset-liability ratio = total liabilities / total assets × 100%, unit: %.</w:t>
      </w:r>
    </w:p>
    <w:p w14:paraId="144A2AC8"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7C580428"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15. Turnover days of finished goods inventory = 360 × average finished goods inventory / operating costs × the cumulative number of months / 12, unit: days.</w:t>
      </w:r>
    </w:p>
    <w:p w14:paraId="57A47A00"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5BE93B6C"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16. Average collection period of accounts receivable = 360 × average accounts receivable / business revenue × the cumulative number of months / 12, unit: days.</w:t>
      </w:r>
    </w:p>
    <w:p w14:paraId="1D998DE1"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26E4BCF1"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xml:space="preserve">17. In the columns of year-on-year growth rate of total profits in the tables above, the “note” refers to negative total profits in the same period last year, which means a loss, or 0.0 billion yuan; a positive value refers to a year-on-year </w:t>
      </w:r>
      <w:r w:rsidRPr="00861E31">
        <w:rPr>
          <w:rFonts w:ascii="Calibri" w:hAnsi="Calibri" w:cs="Calibri"/>
          <w:i/>
          <w:iCs/>
          <w:sz w:val="22"/>
          <w:szCs w:val="22"/>
        </w:rPr>
        <w:lastRenderedPageBreak/>
        <w:t>increase of profits; a negative value between 0 and</w:t>
      </w:r>
      <w:r w:rsidRPr="00861E31">
        <w:rPr>
          <w:rFonts w:ascii="Calibri" w:hAnsi="Calibri" w:cs="Calibri"/>
          <w:i/>
          <w:iCs/>
          <w:sz w:val="22"/>
          <w:szCs w:val="22"/>
        </w:rPr>
        <w:t> </w:t>
      </w:r>
      <w:r w:rsidRPr="00861E31">
        <w:rPr>
          <w:rFonts w:ascii="Calibri" w:hAnsi="Calibri" w:cs="Calibri"/>
          <w:i/>
          <w:iCs/>
          <w:sz w:val="22"/>
          <w:szCs w:val="22"/>
        </w:rPr>
        <w:t>–100% (exclusive of 0) refers to a year-on-year decrease of profits; a decline of more than 100% indicates a turnaround from profit in the same period of the previous year to loss in the current period; a value of 0 indicates that the profits remain at the same level as last year.</w:t>
      </w:r>
    </w:p>
    <w:p w14:paraId="303138FA"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6B6396F9"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II. The growth rates of the total profits and business revenue of industrial enterprises above the designated size are calculated on a comparable basis. There are incomparable factors between the data in the reporting period and the corresponding data published in the previous year; therefore, the data cannot be directly compared to calculate growth rates. The main reasons are: (1) According to the statistical policy, the survey scope of industrial enterprises above the designated size is adjusted on a regular basis every year. Each year, some companies are included in the survey after having reached the designated size, and some exit the survey due to their smaller size. Changes also include enterprises that are newly established, those that go bankrupt, and those with their business licenses cancelled (revoked). (2) As the statistical law enforcement has been strengthened, the enterprises found in statistical law enforcement inspections that do not meet the requirements for industrial enterprises above the designated size were removed, and the relevant bases were revised in accordance with regulations. (3) Data quality management has been strengthened by eliminating duplicate statistical data across regions and industries.</w:t>
      </w:r>
    </w:p>
    <w:p w14:paraId="66A3CB96"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34C62085"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III. Statistical Coverage</w:t>
      </w:r>
    </w:p>
    <w:p w14:paraId="2FDA5ECA"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6773485E"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Industrial enterprises above the designated size refer to industrial legal entities with annual revenue from the main business of 20 million yuan and above.</w:t>
      </w:r>
    </w:p>
    <w:p w14:paraId="4CAC27F2"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03855B0A"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IV. Survey Method</w:t>
      </w:r>
    </w:p>
    <w:p w14:paraId="2E02463B"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284D16BC"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Financial reports of industrial enterprises above the designated size are subject to a comprehensive monthly survey (the data of January is exempted).</w:t>
      </w:r>
    </w:p>
    <w:p w14:paraId="306DE0D9"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 </w:t>
      </w:r>
    </w:p>
    <w:p w14:paraId="0257A14E" w14:textId="77777777" w:rsidR="00861E31" w:rsidRPr="00861E31" w:rsidRDefault="00861E31" w:rsidP="00861E31">
      <w:pPr>
        <w:rPr>
          <w:rFonts w:ascii="Calibri" w:hAnsi="Calibri" w:cs="Calibri"/>
          <w:sz w:val="22"/>
          <w:szCs w:val="22"/>
        </w:rPr>
      </w:pPr>
      <w:r w:rsidRPr="00861E31">
        <w:rPr>
          <w:rFonts w:ascii="Calibri" w:hAnsi="Calibri" w:cs="Calibri"/>
          <w:i/>
          <w:iCs/>
          <w:sz w:val="22"/>
          <w:szCs w:val="22"/>
        </w:rPr>
        <w:t>V. Industrial Classification Standard</w:t>
      </w:r>
    </w:p>
    <w:p w14:paraId="58ECD7C4" w14:textId="17579108" w:rsidR="00941C1F" w:rsidRPr="00861E31" w:rsidRDefault="00861E31">
      <w:pPr>
        <w:rPr>
          <w:rFonts w:ascii="Calibri" w:hAnsi="Calibri" w:cs="Calibri"/>
          <w:sz w:val="22"/>
          <w:szCs w:val="22"/>
        </w:rPr>
      </w:pPr>
      <w:r w:rsidRPr="00861E31">
        <w:rPr>
          <w:rFonts w:ascii="Calibri" w:hAnsi="Calibri" w:cs="Calibri"/>
          <w:i/>
          <w:iCs/>
          <w:sz w:val="22"/>
          <w:szCs w:val="22"/>
        </w:rPr>
        <w:t> </w:t>
      </w:r>
    </w:p>
    <w:sectPr w:rsidR="00941C1F" w:rsidRPr="00861E31" w:rsidSect="00861E3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885C2C"/>
    <w:multiLevelType w:val="multilevel"/>
    <w:tmpl w:val="7F404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590088"/>
    <w:multiLevelType w:val="multilevel"/>
    <w:tmpl w:val="3778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4399897">
    <w:abstractNumId w:val="0"/>
  </w:num>
  <w:num w:numId="2" w16cid:durableId="4611196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E31"/>
    <w:rsid w:val="0045005C"/>
    <w:rsid w:val="00861E31"/>
    <w:rsid w:val="00897DE8"/>
    <w:rsid w:val="00941C1F"/>
    <w:rsid w:val="00A51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18E87"/>
  <w15:chartTrackingRefBased/>
  <w15:docId w15:val="{F1E6DA40-6E85-4B39-9475-330A122E8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E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E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E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E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E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E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E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E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E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E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E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E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E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E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E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E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E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E31"/>
    <w:rPr>
      <w:rFonts w:eastAsiaTheme="majorEastAsia" w:cstheme="majorBidi"/>
      <w:color w:val="272727" w:themeColor="text1" w:themeTint="D8"/>
    </w:rPr>
  </w:style>
  <w:style w:type="paragraph" w:styleId="Title">
    <w:name w:val="Title"/>
    <w:basedOn w:val="Normal"/>
    <w:next w:val="Normal"/>
    <w:link w:val="TitleChar"/>
    <w:uiPriority w:val="10"/>
    <w:qFormat/>
    <w:rsid w:val="00861E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E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E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E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E31"/>
    <w:pPr>
      <w:spacing w:before="160"/>
      <w:jc w:val="center"/>
    </w:pPr>
    <w:rPr>
      <w:i/>
      <w:iCs/>
      <w:color w:val="404040" w:themeColor="text1" w:themeTint="BF"/>
    </w:rPr>
  </w:style>
  <w:style w:type="character" w:customStyle="1" w:styleId="QuoteChar">
    <w:name w:val="Quote Char"/>
    <w:basedOn w:val="DefaultParagraphFont"/>
    <w:link w:val="Quote"/>
    <w:uiPriority w:val="29"/>
    <w:rsid w:val="00861E31"/>
    <w:rPr>
      <w:i/>
      <w:iCs/>
      <w:color w:val="404040" w:themeColor="text1" w:themeTint="BF"/>
    </w:rPr>
  </w:style>
  <w:style w:type="paragraph" w:styleId="ListParagraph">
    <w:name w:val="List Paragraph"/>
    <w:basedOn w:val="Normal"/>
    <w:uiPriority w:val="34"/>
    <w:qFormat/>
    <w:rsid w:val="00861E31"/>
    <w:pPr>
      <w:ind w:left="720"/>
      <w:contextualSpacing/>
    </w:pPr>
  </w:style>
  <w:style w:type="character" w:styleId="IntenseEmphasis">
    <w:name w:val="Intense Emphasis"/>
    <w:basedOn w:val="DefaultParagraphFont"/>
    <w:uiPriority w:val="21"/>
    <w:qFormat/>
    <w:rsid w:val="00861E31"/>
    <w:rPr>
      <w:i/>
      <w:iCs/>
      <w:color w:val="0F4761" w:themeColor="accent1" w:themeShade="BF"/>
    </w:rPr>
  </w:style>
  <w:style w:type="paragraph" w:styleId="IntenseQuote">
    <w:name w:val="Intense Quote"/>
    <w:basedOn w:val="Normal"/>
    <w:next w:val="Normal"/>
    <w:link w:val="IntenseQuoteChar"/>
    <w:uiPriority w:val="30"/>
    <w:qFormat/>
    <w:rsid w:val="00861E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E31"/>
    <w:rPr>
      <w:i/>
      <w:iCs/>
      <w:color w:val="0F4761" w:themeColor="accent1" w:themeShade="BF"/>
    </w:rPr>
  </w:style>
  <w:style w:type="character" w:styleId="IntenseReference">
    <w:name w:val="Intense Reference"/>
    <w:basedOn w:val="DefaultParagraphFont"/>
    <w:uiPriority w:val="32"/>
    <w:qFormat/>
    <w:rsid w:val="00861E31"/>
    <w:rPr>
      <w:b/>
      <w:bCs/>
      <w:smallCaps/>
      <w:color w:val="0F4761" w:themeColor="accent1" w:themeShade="BF"/>
      <w:spacing w:val="5"/>
    </w:rPr>
  </w:style>
  <w:style w:type="character" w:styleId="Hyperlink">
    <w:name w:val="Hyperlink"/>
    <w:basedOn w:val="DefaultParagraphFont"/>
    <w:uiPriority w:val="99"/>
    <w:unhideWhenUsed/>
    <w:rsid w:val="00861E31"/>
    <w:rPr>
      <w:color w:val="467886" w:themeColor="hyperlink"/>
      <w:u w:val="single"/>
    </w:rPr>
  </w:style>
  <w:style w:type="character" w:styleId="UnresolvedMention">
    <w:name w:val="Unresolved Mention"/>
    <w:basedOn w:val="DefaultParagraphFont"/>
    <w:uiPriority w:val="99"/>
    <w:semiHidden/>
    <w:unhideWhenUsed/>
    <w:rsid w:val="00861E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s.gov.cn/english/" TargetMode="External"/><Relationship Id="rId13" Type="http://schemas.openxmlformats.org/officeDocument/2006/relationships/hyperlink" Target="http://www.stats.gov.cn/english/ClassificationsMethods/" TargetMode="External"/><Relationship Id="rId18" Type="http://schemas.openxmlformats.org/officeDocument/2006/relationships/hyperlink" Target="https://www.stats.gov.cn/english/" TargetMode="External"/><Relationship Id="rId26" Type="http://schemas.openxmlformats.org/officeDocument/2006/relationships/image" Target="media/image4.jpeg"/><Relationship Id="rId3" Type="http://schemas.openxmlformats.org/officeDocument/2006/relationships/settings" Target="settings.xml"/><Relationship Id="rId21" Type="http://schemas.openxmlformats.org/officeDocument/2006/relationships/hyperlink" Target="javascript:;" TargetMode="External"/><Relationship Id="rId7" Type="http://schemas.openxmlformats.org/officeDocument/2006/relationships/hyperlink" Target="http://www.stats.gov.cn/english/AI/OS/202208/t20220824_1887612.html" TargetMode="External"/><Relationship Id="rId12" Type="http://schemas.openxmlformats.org/officeDocument/2006/relationships/hyperlink" Target="http://www.stats.gov.cn/english/LF/" TargetMode="External"/><Relationship Id="rId17" Type="http://schemas.openxmlformats.org/officeDocument/2006/relationships/hyperlink" Target="http://www.stats.gov.cn/english/AI/" TargetMode="External"/><Relationship Id="rId25"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hyperlink" Target="http://www.stats.gov.cn/english/understanding/" TargetMode="External"/><Relationship Id="rId20" Type="http://schemas.openxmlformats.org/officeDocument/2006/relationships/hyperlink" Target="javascript:window.print()" TargetMode="External"/><Relationship Id="rId1" Type="http://schemas.openxmlformats.org/officeDocument/2006/relationships/numbering" Target="numbering.xml"/><Relationship Id="rId6" Type="http://schemas.openxmlformats.org/officeDocument/2006/relationships/hyperlink" Target="http://www.stats.gov.cn/wzgl/rss/202305/t20230519_1939842.html" TargetMode="External"/><Relationship Id="rId11" Type="http://schemas.openxmlformats.org/officeDocument/2006/relationships/hyperlink" Target="http://www.stats.gov.cn/english/StatisticalCommuniqu/" TargetMode="External"/><Relationship Id="rId24" Type="http://schemas.openxmlformats.org/officeDocument/2006/relationships/image" Target="media/image2.jpeg"/><Relationship Id="rId5" Type="http://schemas.openxmlformats.org/officeDocument/2006/relationships/hyperlink" Target="https://www.stats.gov.cn/" TargetMode="External"/><Relationship Id="rId15" Type="http://schemas.openxmlformats.org/officeDocument/2006/relationships/hyperlink" Target="http://www.stats.gov.cn/english/InternationalCooperation/" TargetMode="External"/><Relationship Id="rId23" Type="http://schemas.openxmlformats.org/officeDocument/2006/relationships/hyperlink" Target="javascript:;" TargetMode="External"/><Relationship Id="rId28" Type="http://schemas.openxmlformats.org/officeDocument/2006/relationships/theme" Target="theme/theme1.xml"/><Relationship Id="rId10" Type="http://schemas.openxmlformats.org/officeDocument/2006/relationships/hyperlink" Target="http://www.stats.gov.cn/english/Statisticaldata/" TargetMode="External"/><Relationship Id="rId19" Type="http://schemas.openxmlformats.org/officeDocument/2006/relationships/hyperlink" Target="https://www.stats.gov.cn/english/PressRelease/"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stats.gov.cn/english/PressRelease/" TargetMode="External"/><Relationship Id="rId22" Type="http://schemas.openxmlformats.org/officeDocument/2006/relationships/hyperlink" Target="javascrip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2567</Words>
  <Characters>14632</Characters>
  <Application>Microsoft Office Word</Application>
  <DocSecurity>0</DocSecurity>
  <Lines>121</Lines>
  <Paragraphs>34</Paragraphs>
  <ScaleCrop>false</ScaleCrop>
  <Company/>
  <LinksUpToDate>false</LinksUpToDate>
  <CharactersWithSpaces>17165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HILLEL FRIDMAN</dc:creator>
  <cp:keywords/>
  <dc:description/>
  <cp:lastModifiedBy>HILLEL FRIDMAN</cp:lastModifiedBy>
  <cp:revision>1</cp:revision>
  <dcterms:created xsi:type="dcterms:W3CDTF">2026-03-08T15:29:00Z</dcterms:created>
  <dcterms:modified xsi:type="dcterms:W3CDTF">2026-03-08T15:39:00Z</dcterms:modified>
</cp:coreProperties>
</file>